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338A9" w14:textId="77777777" w:rsidR="003E59B7" w:rsidRPr="00495345" w:rsidRDefault="003E59B7" w:rsidP="003E59B7">
      <w:pPr>
        <w:spacing w:line="276" w:lineRule="auto"/>
        <w:ind w:left="567"/>
        <w:outlineLvl w:val="0"/>
        <w:rPr>
          <w:rFonts w:ascii="Arial" w:hAnsi="Arial" w:cs="Arial"/>
          <w:b/>
          <w:color w:val="000000"/>
          <w:szCs w:val="22"/>
        </w:rPr>
      </w:pPr>
      <w:bookmarkStart w:id="0" w:name="_GoBack"/>
      <w:bookmarkEnd w:id="0"/>
    </w:p>
    <w:p w14:paraId="7A41A167" w14:textId="77777777" w:rsidR="003E59B7" w:rsidRPr="00A14ACA" w:rsidRDefault="003E59B7" w:rsidP="003E59B7">
      <w:pPr>
        <w:spacing w:after="120" w:line="276" w:lineRule="auto"/>
        <w:ind w:left="567" w:right="-316"/>
        <w:jc w:val="center"/>
        <w:rPr>
          <w:rFonts w:ascii="Arial" w:hAnsi="Arial" w:cs="Arial"/>
          <w:b/>
          <w:sz w:val="36"/>
          <w:szCs w:val="36"/>
          <w:lang w:val="es-ES"/>
        </w:rPr>
      </w:pPr>
    </w:p>
    <w:p w14:paraId="42D9EFEB" w14:textId="77777777" w:rsidR="003E59B7" w:rsidRDefault="003E59B7" w:rsidP="003E59B7">
      <w:pPr>
        <w:spacing w:after="120" w:line="276" w:lineRule="auto"/>
        <w:ind w:left="567" w:right="-316"/>
        <w:jc w:val="center"/>
        <w:rPr>
          <w:rFonts w:ascii="Arial" w:hAnsi="Arial" w:cs="Arial"/>
          <w:b/>
          <w:sz w:val="36"/>
          <w:szCs w:val="36"/>
          <w:lang w:val="es-ES"/>
        </w:rPr>
      </w:pPr>
      <w:r w:rsidRPr="00A14ACA">
        <w:rPr>
          <w:rFonts w:ascii="Arial" w:hAnsi="Arial" w:cs="Arial"/>
          <w:b/>
          <w:sz w:val="36"/>
          <w:szCs w:val="36"/>
          <w:lang w:val="es-ES"/>
        </w:rPr>
        <w:t xml:space="preserve">INFORME </w:t>
      </w:r>
      <w:r>
        <w:rPr>
          <w:rFonts w:ascii="Arial" w:hAnsi="Arial" w:cs="Arial"/>
          <w:b/>
          <w:sz w:val="36"/>
          <w:szCs w:val="36"/>
          <w:lang w:val="es-ES"/>
        </w:rPr>
        <w:t>-</w:t>
      </w:r>
      <w:r w:rsidRPr="00A14ACA">
        <w:rPr>
          <w:rFonts w:ascii="Arial" w:hAnsi="Arial" w:cs="Arial"/>
          <w:b/>
          <w:sz w:val="36"/>
          <w:szCs w:val="36"/>
          <w:lang w:val="es-ES"/>
        </w:rPr>
        <w:t xml:space="preserve"> BALANCE DE LA </w:t>
      </w:r>
      <w:r>
        <w:rPr>
          <w:rFonts w:ascii="Arial" w:hAnsi="Arial" w:cs="Arial"/>
          <w:b/>
          <w:sz w:val="36"/>
          <w:szCs w:val="36"/>
          <w:lang w:val="es-ES"/>
        </w:rPr>
        <w:t xml:space="preserve">GESTIÓN COLECTIVA DE CONTRATACIONES EN ORIGEN </w:t>
      </w:r>
    </w:p>
    <w:p w14:paraId="3DD5DBD2" w14:textId="77777777" w:rsidR="003E59B7" w:rsidRPr="00A14ACA" w:rsidRDefault="003E59B7" w:rsidP="003E59B7">
      <w:pPr>
        <w:spacing w:after="120" w:line="276" w:lineRule="auto"/>
        <w:ind w:left="567" w:right="-316"/>
        <w:jc w:val="center"/>
        <w:rPr>
          <w:rFonts w:ascii="Arial" w:hAnsi="Arial" w:cs="Arial"/>
          <w:b/>
          <w:sz w:val="36"/>
          <w:szCs w:val="36"/>
          <w:lang w:val="es-ES"/>
        </w:rPr>
      </w:pPr>
      <w:r w:rsidRPr="00A14ACA">
        <w:rPr>
          <w:rFonts w:ascii="Arial" w:hAnsi="Arial" w:cs="Arial"/>
          <w:b/>
          <w:sz w:val="36"/>
          <w:szCs w:val="36"/>
          <w:lang w:val="es-ES"/>
        </w:rPr>
        <w:t>CAMPAÑA</w:t>
      </w:r>
      <w:r>
        <w:rPr>
          <w:rFonts w:ascii="Arial" w:hAnsi="Arial" w:cs="Arial"/>
          <w:b/>
          <w:sz w:val="36"/>
          <w:szCs w:val="36"/>
          <w:lang w:val="es-ES"/>
        </w:rPr>
        <w:t xml:space="preserve"> </w:t>
      </w:r>
      <w:r w:rsidRPr="00A14ACA">
        <w:rPr>
          <w:rFonts w:ascii="Arial" w:hAnsi="Arial" w:cs="Arial"/>
          <w:b/>
          <w:sz w:val="36"/>
          <w:szCs w:val="36"/>
          <w:lang w:val="es-ES"/>
        </w:rPr>
        <w:t>HUELVA 2018-2019.</w:t>
      </w:r>
    </w:p>
    <w:p w14:paraId="505ECBC6" w14:textId="77777777" w:rsidR="003E59B7" w:rsidRPr="00A14ACA" w:rsidRDefault="00605F45" w:rsidP="003E59B7">
      <w:pPr>
        <w:spacing w:line="276" w:lineRule="auto"/>
        <w:ind w:left="567"/>
        <w:jc w:val="center"/>
        <w:rPr>
          <w:rFonts w:ascii="Arial" w:hAnsi="Arial" w:cs="Arial"/>
          <w:b/>
          <w:sz w:val="40"/>
          <w:szCs w:val="40"/>
          <w:lang w:val="es-ES"/>
        </w:rPr>
      </w:pPr>
      <w:r>
        <w:rPr>
          <w:rFonts w:ascii="Arial" w:hAnsi="Arial" w:cs="Arial"/>
          <w:b/>
          <w:sz w:val="40"/>
          <w:szCs w:val="40"/>
          <w:lang w:val="es-ES"/>
        </w:rPr>
        <w:pict w14:anchorId="2661FA31">
          <v:rect id="_x0000_i1025" style="width:497.55pt;height:1.5pt" o:hralign="center" o:hrstd="t" o:hr="t" fillcolor="#a0a0a0" stroked="f"/>
        </w:pict>
      </w:r>
    </w:p>
    <w:p w14:paraId="5FBC4584" w14:textId="77777777" w:rsidR="003E59B7" w:rsidRPr="00A14ACA" w:rsidRDefault="003E59B7" w:rsidP="003E59B7">
      <w:pPr>
        <w:spacing w:after="120" w:line="276" w:lineRule="auto"/>
        <w:ind w:left="567" w:right="-316"/>
        <w:jc w:val="center"/>
        <w:rPr>
          <w:rFonts w:ascii="Arial" w:hAnsi="Arial" w:cs="Arial"/>
          <w:b/>
          <w:sz w:val="40"/>
          <w:szCs w:val="40"/>
          <w:lang w:val="es-ES"/>
        </w:rPr>
      </w:pPr>
    </w:p>
    <w:p w14:paraId="54C3C9F2" w14:textId="77777777" w:rsidR="003E59B7" w:rsidRPr="00A14ACA" w:rsidRDefault="003E59B7" w:rsidP="003E59B7">
      <w:pPr>
        <w:spacing w:after="120" w:line="276" w:lineRule="auto"/>
        <w:ind w:left="567" w:right="-316"/>
        <w:jc w:val="center"/>
        <w:rPr>
          <w:rFonts w:ascii="Arial" w:hAnsi="Arial" w:cs="Arial"/>
          <w:b/>
          <w:sz w:val="40"/>
          <w:szCs w:val="40"/>
          <w:lang w:val="es-ES"/>
        </w:rPr>
      </w:pPr>
    </w:p>
    <w:p w14:paraId="76271F74" w14:textId="77777777" w:rsidR="003E59B7" w:rsidRPr="00A14ACA" w:rsidRDefault="003E59B7" w:rsidP="003E59B7">
      <w:pPr>
        <w:numPr>
          <w:ilvl w:val="0"/>
          <w:numId w:val="1"/>
        </w:numPr>
        <w:spacing w:after="120" w:line="276" w:lineRule="auto"/>
        <w:ind w:left="567" w:right="-316"/>
        <w:jc w:val="both"/>
        <w:rPr>
          <w:rFonts w:ascii="Arial" w:hAnsi="Arial" w:cs="Arial"/>
          <w:b/>
          <w:sz w:val="28"/>
          <w:szCs w:val="28"/>
          <w:lang w:val="es-ES"/>
        </w:rPr>
      </w:pPr>
      <w:r w:rsidRPr="00A14ACA">
        <w:rPr>
          <w:rFonts w:ascii="Arial" w:hAnsi="Arial" w:cs="Arial"/>
          <w:b/>
          <w:sz w:val="28"/>
          <w:szCs w:val="28"/>
          <w:lang w:val="es-ES"/>
        </w:rPr>
        <w:t>EVOLUCIÓN DE LA CAMPAÑA AGRÍCOLA DE TEMPORADA DE LA PROVINCIA DE HUELVA.</w:t>
      </w:r>
    </w:p>
    <w:p w14:paraId="55EE9D79" w14:textId="77777777" w:rsidR="003E59B7" w:rsidRPr="00A14ACA" w:rsidRDefault="003E59B7" w:rsidP="003E59B7">
      <w:pPr>
        <w:numPr>
          <w:ilvl w:val="0"/>
          <w:numId w:val="1"/>
        </w:numPr>
        <w:spacing w:after="120" w:line="276" w:lineRule="auto"/>
        <w:ind w:left="567" w:right="-316"/>
        <w:jc w:val="both"/>
        <w:rPr>
          <w:rFonts w:ascii="Arial" w:hAnsi="Arial" w:cs="Arial"/>
          <w:b/>
          <w:sz w:val="28"/>
          <w:szCs w:val="28"/>
          <w:lang w:val="es-ES"/>
        </w:rPr>
      </w:pPr>
      <w:r w:rsidRPr="00A14ACA">
        <w:rPr>
          <w:rFonts w:ascii="Arial" w:hAnsi="Arial" w:cs="Arial"/>
          <w:b/>
          <w:sz w:val="28"/>
          <w:szCs w:val="28"/>
          <w:lang w:val="es-ES"/>
        </w:rPr>
        <w:t>BALANCE DE LA CAMPAÑA 2018/2019.</w:t>
      </w:r>
    </w:p>
    <w:p w14:paraId="5ECB24CF" w14:textId="7E54E84F" w:rsidR="003E59B7" w:rsidRDefault="003E59B7" w:rsidP="003E59B7">
      <w:pPr>
        <w:numPr>
          <w:ilvl w:val="0"/>
          <w:numId w:val="1"/>
        </w:numPr>
        <w:spacing w:after="120" w:line="276" w:lineRule="auto"/>
        <w:ind w:left="567" w:right="-316"/>
        <w:jc w:val="both"/>
        <w:rPr>
          <w:rFonts w:ascii="Arial" w:hAnsi="Arial" w:cs="Arial"/>
          <w:b/>
          <w:sz w:val="28"/>
          <w:szCs w:val="28"/>
          <w:lang w:val="es-ES"/>
        </w:rPr>
      </w:pPr>
      <w:r>
        <w:rPr>
          <w:rFonts w:ascii="Arial" w:hAnsi="Arial" w:cs="Arial"/>
          <w:b/>
          <w:sz w:val="28"/>
          <w:szCs w:val="28"/>
          <w:lang w:val="es-ES"/>
        </w:rPr>
        <w:t>CONCLUSIONES</w:t>
      </w:r>
    </w:p>
    <w:p w14:paraId="5BA0C3E7" w14:textId="613FB4B5" w:rsidR="00E7664A" w:rsidRPr="00E7664A" w:rsidRDefault="00E7664A" w:rsidP="00E7664A">
      <w:pPr>
        <w:numPr>
          <w:ilvl w:val="0"/>
          <w:numId w:val="1"/>
        </w:numPr>
        <w:spacing w:after="120" w:line="276" w:lineRule="auto"/>
        <w:ind w:left="567" w:right="-316"/>
        <w:jc w:val="both"/>
        <w:rPr>
          <w:rFonts w:ascii="Arial" w:hAnsi="Arial" w:cs="Arial"/>
          <w:b/>
          <w:sz w:val="28"/>
          <w:szCs w:val="28"/>
          <w:lang w:val="es-ES"/>
        </w:rPr>
      </w:pPr>
      <w:r>
        <w:rPr>
          <w:rFonts w:ascii="Arial" w:hAnsi="Arial" w:cs="Arial"/>
          <w:b/>
          <w:sz w:val="28"/>
          <w:szCs w:val="28"/>
          <w:lang w:val="es-ES"/>
        </w:rPr>
        <w:t xml:space="preserve">ANEXO: </w:t>
      </w:r>
      <w:r w:rsidRPr="00E7664A">
        <w:rPr>
          <w:rFonts w:ascii="Arial" w:hAnsi="Arial" w:cs="Arial"/>
          <w:b/>
          <w:sz w:val="28"/>
          <w:szCs w:val="28"/>
          <w:lang w:val="es-ES"/>
        </w:rPr>
        <w:t xml:space="preserve">COMUNICADO CONJUNTO DEL GOBIERNO DE ESPAÑA Y EL GOBIERNO DE MARRUECOS </w:t>
      </w:r>
    </w:p>
    <w:p w14:paraId="41885F9E" w14:textId="77777777" w:rsidR="00E7664A" w:rsidRPr="00E7664A" w:rsidRDefault="00E7664A" w:rsidP="00E7664A">
      <w:pPr>
        <w:pStyle w:val="Prrafodelista"/>
        <w:ind w:left="1080"/>
        <w:jc w:val="both"/>
        <w:rPr>
          <w:sz w:val="24"/>
          <w:szCs w:val="24"/>
        </w:rPr>
      </w:pPr>
    </w:p>
    <w:p w14:paraId="1A612D24" w14:textId="4767291B" w:rsidR="00E7664A" w:rsidRPr="00A14ACA" w:rsidRDefault="00E7664A" w:rsidP="00E7664A">
      <w:pPr>
        <w:spacing w:after="120" w:line="276" w:lineRule="auto"/>
        <w:ind w:left="567" w:right="-316"/>
        <w:jc w:val="both"/>
        <w:rPr>
          <w:rFonts w:ascii="Arial" w:hAnsi="Arial" w:cs="Arial"/>
          <w:b/>
          <w:sz w:val="28"/>
          <w:szCs w:val="28"/>
          <w:lang w:val="es-ES"/>
        </w:rPr>
      </w:pPr>
    </w:p>
    <w:p w14:paraId="324FFE34" w14:textId="77777777" w:rsidR="003E59B7" w:rsidRPr="00A14ACA" w:rsidRDefault="003E59B7" w:rsidP="003E59B7">
      <w:pPr>
        <w:spacing w:after="120" w:line="276" w:lineRule="auto"/>
        <w:ind w:left="567"/>
        <w:jc w:val="both"/>
        <w:rPr>
          <w:rFonts w:ascii="Arial" w:hAnsi="Arial" w:cs="Arial"/>
          <w:b/>
          <w:szCs w:val="22"/>
          <w:u w:val="single"/>
          <w:lang w:val="es-ES"/>
        </w:rPr>
      </w:pPr>
      <w:r w:rsidRPr="00A14ACA">
        <w:rPr>
          <w:rFonts w:ascii="Arial" w:hAnsi="Arial" w:cs="Arial"/>
          <w:b/>
          <w:szCs w:val="22"/>
          <w:u w:val="single"/>
          <w:lang w:val="es-ES"/>
        </w:rPr>
        <w:br w:type="page"/>
      </w:r>
    </w:p>
    <w:p w14:paraId="41D7E509" w14:textId="77777777" w:rsidR="003E59B7" w:rsidRPr="00A14ACA" w:rsidRDefault="003E59B7" w:rsidP="003E59B7">
      <w:pPr>
        <w:numPr>
          <w:ilvl w:val="0"/>
          <w:numId w:val="2"/>
        </w:numPr>
        <w:spacing w:line="276" w:lineRule="auto"/>
        <w:ind w:left="567"/>
        <w:jc w:val="both"/>
        <w:rPr>
          <w:rFonts w:ascii="Arial" w:hAnsi="Arial" w:cs="Arial"/>
          <w:b/>
          <w:color w:val="0D0D0D"/>
          <w:szCs w:val="22"/>
          <w:u w:val="single"/>
          <w:lang w:val="es-ES"/>
        </w:rPr>
      </w:pPr>
      <w:r w:rsidRPr="00A14ACA">
        <w:rPr>
          <w:rFonts w:ascii="Arial" w:hAnsi="Arial" w:cs="Arial"/>
          <w:b/>
          <w:color w:val="0D0D0D"/>
          <w:szCs w:val="22"/>
          <w:u w:val="single"/>
          <w:lang w:val="es-ES"/>
        </w:rPr>
        <w:lastRenderedPageBreak/>
        <w:t>EVOLUCIÓN DE LA CAMPAÑA AGR</w:t>
      </w:r>
      <w:r>
        <w:rPr>
          <w:rFonts w:ascii="Arial" w:hAnsi="Arial" w:cs="Arial"/>
          <w:b/>
          <w:color w:val="0D0D0D"/>
          <w:szCs w:val="22"/>
          <w:u w:val="single"/>
          <w:lang w:val="es-ES"/>
        </w:rPr>
        <w:t>Í</w:t>
      </w:r>
      <w:r w:rsidRPr="00A14ACA">
        <w:rPr>
          <w:rFonts w:ascii="Arial" w:hAnsi="Arial" w:cs="Arial"/>
          <w:b/>
          <w:color w:val="0D0D0D"/>
          <w:szCs w:val="22"/>
          <w:u w:val="single"/>
          <w:lang w:val="es-ES"/>
        </w:rPr>
        <w:t>COLA DE TEMPORADA DE LA PROVINCIA DE HUELVA</w:t>
      </w:r>
    </w:p>
    <w:p w14:paraId="127A6370" w14:textId="77777777" w:rsidR="003E59B7" w:rsidRPr="00A14ACA" w:rsidRDefault="003E59B7" w:rsidP="003E59B7">
      <w:pPr>
        <w:tabs>
          <w:tab w:val="left" w:pos="360"/>
        </w:tabs>
        <w:spacing w:line="276" w:lineRule="auto"/>
        <w:ind w:left="567"/>
        <w:jc w:val="both"/>
        <w:rPr>
          <w:rFonts w:ascii="Arial" w:hAnsi="Arial" w:cs="Arial"/>
          <w:szCs w:val="22"/>
          <w:lang w:val="es-ES"/>
        </w:rPr>
      </w:pPr>
    </w:p>
    <w:p w14:paraId="7C457901" w14:textId="77777777" w:rsidR="003E59B7" w:rsidRPr="00A14ACA" w:rsidRDefault="003E59B7" w:rsidP="003E59B7">
      <w:pPr>
        <w:tabs>
          <w:tab w:val="left" w:pos="360"/>
        </w:tabs>
        <w:spacing w:line="276" w:lineRule="auto"/>
        <w:ind w:left="567"/>
        <w:jc w:val="both"/>
        <w:rPr>
          <w:rFonts w:ascii="Arial" w:hAnsi="Arial" w:cs="Arial"/>
          <w:szCs w:val="22"/>
          <w:lang w:val="es-ES"/>
        </w:rPr>
      </w:pPr>
      <w:r>
        <w:rPr>
          <w:rFonts w:ascii="Arial" w:hAnsi="Arial" w:cs="Arial"/>
          <w:szCs w:val="22"/>
          <w:lang w:val="es-ES"/>
        </w:rPr>
        <w:t>L</w:t>
      </w:r>
      <w:r w:rsidRPr="00A14ACA">
        <w:rPr>
          <w:rFonts w:ascii="Arial" w:hAnsi="Arial" w:cs="Arial"/>
          <w:szCs w:val="22"/>
          <w:lang w:val="es-ES"/>
        </w:rPr>
        <w:t>as necesidades de mano de obra</w:t>
      </w:r>
      <w:r>
        <w:rPr>
          <w:rFonts w:ascii="Arial" w:hAnsi="Arial" w:cs="Arial"/>
          <w:szCs w:val="22"/>
          <w:lang w:val="es-ES"/>
        </w:rPr>
        <w:t xml:space="preserve"> han acompañado el incremento de la producción agrícola que Huelva ha experimentado en los últimos años. La producción de f</w:t>
      </w:r>
      <w:r w:rsidRPr="00A14ACA">
        <w:rPr>
          <w:rFonts w:ascii="Arial" w:hAnsi="Arial" w:cs="Arial"/>
          <w:szCs w:val="22"/>
          <w:lang w:val="es-ES"/>
        </w:rPr>
        <w:t xml:space="preserve">resa </w:t>
      </w:r>
      <w:r>
        <w:rPr>
          <w:rFonts w:ascii="Arial" w:hAnsi="Arial" w:cs="Arial"/>
          <w:szCs w:val="22"/>
          <w:lang w:val="es-ES"/>
        </w:rPr>
        <w:t xml:space="preserve">y </w:t>
      </w:r>
      <w:r w:rsidRPr="00A14ACA">
        <w:rPr>
          <w:rFonts w:ascii="Arial" w:hAnsi="Arial" w:cs="Arial"/>
          <w:szCs w:val="22"/>
          <w:lang w:val="es-ES"/>
        </w:rPr>
        <w:t xml:space="preserve">frutos rojos </w:t>
      </w:r>
      <w:r>
        <w:rPr>
          <w:rFonts w:ascii="Arial" w:hAnsi="Arial" w:cs="Arial"/>
          <w:szCs w:val="22"/>
          <w:lang w:val="es-ES"/>
        </w:rPr>
        <w:t>se han convertido en un motor económico en la provincia. Las necesidades de trabajo de temporada se incrementan</w:t>
      </w:r>
      <w:r w:rsidRPr="00A14ACA">
        <w:rPr>
          <w:rFonts w:ascii="Arial" w:hAnsi="Arial" w:cs="Arial"/>
          <w:szCs w:val="22"/>
          <w:lang w:val="es-ES"/>
        </w:rPr>
        <w:t xml:space="preserve"> especialmente en la fase de recolección</w:t>
      </w:r>
      <w:r>
        <w:rPr>
          <w:rFonts w:ascii="Arial" w:hAnsi="Arial" w:cs="Arial"/>
          <w:szCs w:val="22"/>
          <w:lang w:val="es-ES"/>
        </w:rPr>
        <w:t>,</w:t>
      </w:r>
      <w:r w:rsidRPr="00A14ACA">
        <w:rPr>
          <w:rFonts w:ascii="Arial" w:hAnsi="Arial" w:cs="Arial"/>
          <w:szCs w:val="22"/>
          <w:lang w:val="es-ES"/>
        </w:rPr>
        <w:t xml:space="preserve"> entre los meses de marzo y mayo</w:t>
      </w:r>
      <w:r>
        <w:rPr>
          <w:rFonts w:ascii="Arial" w:hAnsi="Arial" w:cs="Arial"/>
          <w:szCs w:val="22"/>
          <w:lang w:val="es-ES"/>
        </w:rPr>
        <w:t xml:space="preserve"> y de ellas forman parte las</w:t>
      </w:r>
      <w:r w:rsidRPr="00A14ACA">
        <w:rPr>
          <w:rFonts w:ascii="Arial" w:hAnsi="Arial" w:cs="Arial"/>
          <w:szCs w:val="22"/>
          <w:lang w:val="es-ES"/>
        </w:rPr>
        <w:t xml:space="preserve"> contrataciones </w:t>
      </w:r>
      <w:r>
        <w:rPr>
          <w:rFonts w:ascii="Arial" w:hAnsi="Arial" w:cs="Arial"/>
          <w:szCs w:val="22"/>
          <w:lang w:val="es-ES"/>
        </w:rPr>
        <w:t>con origen en M</w:t>
      </w:r>
      <w:r w:rsidRPr="00A14ACA">
        <w:rPr>
          <w:rFonts w:ascii="Arial" w:hAnsi="Arial" w:cs="Arial"/>
          <w:szCs w:val="22"/>
          <w:lang w:val="es-ES"/>
        </w:rPr>
        <w:t>arruecos, que representan aproximadamente el 15% de los trabajadores de la campaña.</w:t>
      </w:r>
    </w:p>
    <w:p w14:paraId="104019D8" w14:textId="77777777" w:rsidR="003E59B7" w:rsidRPr="00A14ACA" w:rsidRDefault="003E59B7" w:rsidP="003E59B7">
      <w:pPr>
        <w:tabs>
          <w:tab w:val="left" w:pos="360"/>
        </w:tabs>
        <w:spacing w:line="276" w:lineRule="auto"/>
        <w:ind w:left="567"/>
        <w:jc w:val="both"/>
        <w:rPr>
          <w:rFonts w:ascii="Arial" w:hAnsi="Arial" w:cs="Arial"/>
          <w:szCs w:val="22"/>
          <w:lang w:val="es-ES"/>
        </w:rPr>
      </w:pPr>
    </w:p>
    <w:p w14:paraId="062C3E53" w14:textId="77777777" w:rsidR="003E59B7" w:rsidRPr="00A14ACA" w:rsidRDefault="003E59B7" w:rsidP="003E59B7">
      <w:pPr>
        <w:shd w:val="clear" w:color="auto" w:fill="FFFFFF"/>
        <w:tabs>
          <w:tab w:val="left" w:pos="360"/>
        </w:tabs>
        <w:spacing w:line="276" w:lineRule="auto"/>
        <w:ind w:left="567"/>
        <w:jc w:val="both"/>
        <w:rPr>
          <w:rFonts w:ascii="Arial" w:hAnsi="Arial" w:cs="Arial"/>
          <w:szCs w:val="22"/>
          <w:lang w:val="es-ES"/>
        </w:rPr>
      </w:pPr>
      <w:r w:rsidRPr="00A14ACA">
        <w:rPr>
          <w:rFonts w:ascii="Arial" w:hAnsi="Arial" w:cs="Arial"/>
          <w:szCs w:val="22"/>
          <w:lang w:val="es-ES"/>
        </w:rPr>
        <w:t xml:space="preserve">En esta campaña 2018/2019, las organizaciones empresariales agrícolas onubenses estimaron la necesidad de cobertura de puestos de trabajo </w:t>
      </w:r>
      <w:r>
        <w:rPr>
          <w:rFonts w:ascii="Arial" w:hAnsi="Arial" w:cs="Arial"/>
          <w:szCs w:val="22"/>
          <w:lang w:val="es-ES"/>
        </w:rPr>
        <w:t xml:space="preserve">en 25.840, publicándose finalmente </w:t>
      </w:r>
      <w:r w:rsidRPr="00A14ACA">
        <w:rPr>
          <w:rFonts w:ascii="Arial" w:hAnsi="Arial" w:cs="Arial"/>
          <w:szCs w:val="22"/>
          <w:lang w:val="es-ES"/>
        </w:rPr>
        <w:t>22.500 ofertas</w:t>
      </w:r>
      <w:r>
        <w:rPr>
          <w:rFonts w:ascii="Arial" w:hAnsi="Arial" w:cs="Arial"/>
          <w:szCs w:val="22"/>
          <w:lang w:val="es-ES"/>
        </w:rPr>
        <w:t xml:space="preserve"> </w:t>
      </w:r>
      <w:r w:rsidRPr="00A14ACA">
        <w:rPr>
          <w:rFonts w:ascii="Arial" w:hAnsi="Arial" w:cs="Arial"/>
          <w:szCs w:val="22"/>
          <w:lang w:val="es-ES"/>
        </w:rPr>
        <w:t>en los servicios públicos de empleo correspondientes</w:t>
      </w:r>
      <w:r>
        <w:rPr>
          <w:rFonts w:ascii="Arial" w:hAnsi="Arial" w:cs="Arial"/>
          <w:szCs w:val="22"/>
          <w:lang w:val="es-ES"/>
        </w:rPr>
        <w:t>. C</w:t>
      </w:r>
      <w:r w:rsidRPr="00A14ACA">
        <w:rPr>
          <w:rFonts w:ascii="Arial" w:hAnsi="Arial" w:cs="Arial"/>
          <w:szCs w:val="22"/>
          <w:lang w:val="es-ES"/>
        </w:rPr>
        <w:t xml:space="preserve">onstatada la insuficiencia de demandantes y valoradas las memorias de cultivo, el cupo inicialmente autorizado fue de 19.179 trabajadoras. En el siguiente cuadro se recoge la evolución en cifras de la campaña: </w:t>
      </w:r>
    </w:p>
    <w:p w14:paraId="6A5FBB3C" w14:textId="77777777" w:rsidR="003E59B7" w:rsidRPr="00A14ACA" w:rsidRDefault="003E59B7" w:rsidP="003E59B7">
      <w:pPr>
        <w:spacing w:line="276" w:lineRule="auto"/>
        <w:ind w:left="567" w:right="-54"/>
        <w:jc w:val="both"/>
        <w:rPr>
          <w:rFonts w:ascii="Arial" w:hAnsi="Arial" w:cs="Arial"/>
          <w:szCs w:val="22"/>
          <w:lang w:val="es-ES"/>
        </w:rPr>
      </w:pPr>
    </w:p>
    <w:tbl>
      <w:tblPr>
        <w:tblpPr w:leftFromText="141" w:rightFromText="141" w:vertAnchor="text" w:horzAnchor="margin" w:tblpXSpec="right" w:tblpY="-7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51"/>
        <w:gridCol w:w="950"/>
        <w:gridCol w:w="950"/>
        <w:gridCol w:w="950"/>
        <w:gridCol w:w="950"/>
        <w:gridCol w:w="950"/>
        <w:gridCol w:w="950"/>
        <w:gridCol w:w="1323"/>
      </w:tblGrid>
      <w:tr w:rsidR="003E59B7" w:rsidRPr="005A071F" w14:paraId="69EECD96" w14:textId="77777777" w:rsidTr="00F35BF2">
        <w:trPr>
          <w:trHeight w:val="396"/>
        </w:trPr>
        <w:tc>
          <w:tcPr>
            <w:tcW w:w="8774" w:type="dxa"/>
            <w:gridSpan w:val="8"/>
            <w:tcBorders>
              <w:top w:val="single" w:sz="12" w:space="0" w:color="auto"/>
              <w:left w:val="single" w:sz="12" w:space="0" w:color="auto"/>
              <w:bottom w:val="single" w:sz="12" w:space="0" w:color="auto"/>
              <w:right w:val="single" w:sz="12" w:space="0" w:color="auto"/>
            </w:tcBorders>
            <w:shd w:val="clear" w:color="auto" w:fill="92D050"/>
            <w:vAlign w:val="center"/>
            <w:hideMark/>
          </w:tcPr>
          <w:p w14:paraId="759ED8C4" w14:textId="77777777" w:rsidR="003E59B7" w:rsidRPr="005A071F" w:rsidRDefault="003E59B7" w:rsidP="00F35BF2">
            <w:pPr>
              <w:spacing w:line="276" w:lineRule="auto"/>
              <w:ind w:left="567"/>
              <w:jc w:val="center"/>
              <w:rPr>
                <w:rFonts w:ascii="Arial" w:hAnsi="Arial" w:cs="Arial"/>
                <w:b/>
                <w:sz w:val="20"/>
                <w:lang w:val="es-ES"/>
              </w:rPr>
            </w:pPr>
            <w:r w:rsidRPr="005A071F">
              <w:rPr>
                <w:rFonts w:ascii="Arial" w:hAnsi="Arial" w:cs="Arial"/>
                <w:b/>
                <w:sz w:val="20"/>
                <w:lang w:val="es-ES"/>
              </w:rPr>
              <w:t>Evolución de la campaña agrícola de Huelva</w:t>
            </w:r>
          </w:p>
        </w:tc>
      </w:tr>
      <w:tr w:rsidR="003E59B7" w:rsidRPr="005A071F" w14:paraId="55A1A02D" w14:textId="77777777" w:rsidTr="00F35BF2">
        <w:trPr>
          <w:trHeight w:val="764"/>
        </w:trPr>
        <w:tc>
          <w:tcPr>
            <w:tcW w:w="1751" w:type="dxa"/>
            <w:tcBorders>
              <w:top w:val="single" w:sz="12" w:space="0" w:color="auto"/>
              <w:left w:val="single" w:sz="12" w:space="0" w:color="auto"/>
              <w:bottom w:val="single" w:sz="12" w:space="0" w:color="auto"/>
              <w:right w:val="single" w:sz="12" w:space="0" w:color="auto"/>
            </w:tcBorders>
            <w:shd w:val="clear" w:color="auto" w:fill="92D050"/>
            <w:vAlign w:val="center"/>
            <w:hideMark/>
          </w:tcPr>
          <w:p w14:paraId="0951F366" w14:textId="77777777" w:rsidR="003E59B7" w:rsidRPr="005A071F" w:rsidRDefault="003E59B7" w:rsidP="00F35BF2">
            <w:pPr>
              <w:spacing w:line="276" w:lineRule="auto"/>
              <w:jc w:val="center"/>
              <w:rPr>
                <w:rFonts w:ascii="Arial" w:hAnsi="Arial" w:cs="Arial"/>
                <w:b/>
                <w:sz w:val="20"/>
                <w:lang w:val="es-ES"/>
              </w:rPr>
            </w:pPr>
            <w:r w:rsidRPr="005A071F">
              <w:rPr>
                <w:rFonts w:ascii="Arial" w:hAnsi="Arial" w:cs="Arial"/>
                <w:b/>
                <w:sz w:val="20"/>
                <w:lang w:val="es-ES"/>
              </w:rPr>
              <w:t>Campaña</w:t>
            </w:r>
          </w:p>
        </w:tc>
        <w:tc>
          <w:tcPr>
            <w:tcW w:w="0" w:type="auto"/>
            <w:tcBorders>
              <w:top w:val="single" w:sz="12" w:space="0" w:color="auto"/>
              <w:left w:val="single" w:sz="12" w:space="0" w:color="auto"/>
              <w:bottom w:val="single" w:sz="12" w:space="0" w:color="auto"/>
              <w:right w:val="single" w:sz="12" w:space="0" w:color="auto"/>
            </w:tcBorders>
            <w:shd w:val="clear" w:color="auto" w:fill="92D050"/>
            <w:vAlign w:val="center"/>
            <w:hideMark/>
          </w:tcPr>
          <w:p w14:paraId="27F345DB" w14:textId="77777777" w:rsidR="003E59B7" w:rsidRPr="005A071F" w:rsidRDefault="003E59B7" w:rsidP="00F35BF2">
            <w:pPr>
              <w:spacing w:line="276" w:lineRule="auto"/>
              <w:jc w:val="center"/>
              <w:rPr>
                <w:rFonts w:ascii="Arial" w:hAnsi="Arial" w:cs="Arial"/>
                <w:b/>
                <w:sz w:val="20"/>
                <w:lang w:val="es-ES"/>
              </w:rPr>
            </w:pPr>
            <w:r w:rsidRPr="005A071F">
              <w:rPr>
                <w:rFonts w:ascii="Arial" w:hAnsi="Arial" w:cs="Arial"/>
                <w:b/>
                <w:sz w:val="20"/>
                <w:lang w:val="es-ES"/>
              </w:rPr>
              <w:t>2012-13</w:t>
            </w:r>
          </w:p>
        </w:tc>
        <w:tc>
          <w:tcPr>
            <w:tcW w:w="0" w:type="auto"/>
            <w:tcBorders>
              <w:top w:val="single" w:sz="12" w:space="0" w:color="auto"/>
              <w:left w:val="single" w:sz="12" w:space="0" w:color="auto"/>
              <w:bottom w:val="single" w:sz="12" w:space="0" w:color="auto"/>
              <w:right w:val="single" w:sz="12" w:space="0" w:color="auto"/>
            </w:tcBorders>
            <w:shd w:val="clear" w:color="auto" w:fill="92D050"/>
            <w:vAlign w:val="center"/>
            <w:hideMark/>
          </w:tcPr>
          <w:p w14:paraId="3ACBA612" w14:textId="77777777" w:rsidR="003E59B7" w:rsidRPr="005A071F" w:rsidRDefault="003E59B7" w:rsidP="00F35BF2">
            <w:pPr>
              <w:spacing w:line="276" w:lineRule="auto"/>
              <w:jc w:val="center"/>
              <w:rPr>
                <w:rFonts w:ascii="Arial" w:hAnsi="Arial" w:cs="Arial"/>
                <w:b/>
                <w:sz w:val="20"/>
                <w:lang w:val="es-ES"/>
              </w:rPr>
            </w:pPr>
            <w:r w:rsidRPr="005A071F">
              <w:rPr>
                <w:rFonts w:ascii="Arial" w:hAnsi="Arial" w:cs="Arial"/>
                <w:b/>
                <w:sz w:val="20"/>
                <w:lang w:val="es-ES"/>
              </w:rPr>
              <w:t>2013-14</w:t>
            </w:r>
          </w:p>
        </w:tc>
        <w:tc>
          <w:tcPr>
            <w:tcW w:w="0" w:type="auto"/>
            <w:tcBorders>
              <w:top w:val="single" w:sz="12" w:space="0" w:color="auto"/>
              <w:left w:val="single" w:sz="12" w:space="0" w:color="auto"/>
              <w:bottom w:val="single" w:sz="12" w:space="0" w:color="auto"/>
              <w:right w:val="single" w:sz="12" w:space="0" w:color="auto"/>
            </w:tcBorders>
            <w:shd w:val="clear" w:color="auto" w:fill="92D050"/>
            <w:vAlign w:val="center"/>
            <w:hideMark/>
          </w:tcPr>
          <w:p w14:paraId="31AECD44" w14:textId="77777777" w:rsidR="003E59B7" w:rsidRPr="005A071F" w:rsidRDefault="003E59B7" w:rsidP="00F35BF2">
            <w:pPr>
              <w:spacing w:line="276" w:lineRule="auto"/>
              <w:jc w:val="center"/>
              <w:rPr>
                <w:rFonts w:ascii="Arial" w:hAnsi="Arial" w:cs="Arial"/>
                <w:b/>
                <w:sz w:val="20"/>
                <w:lang w:val="es-ES"/>
              </w:rPr>
            </w:pPr>
            <w:r w:rsidRPr="005A071F">
              <w:rPr>
                <w:rFonts w:ascii="Arial" w:hAnsi="Arial" w:cs="Arial"/>
                <w:b/>
                <w:sz w:val="20"/>
                <w:lang w:val="es-ES"/>
              </w:rPr>
              <w:t>2014-15</w:t>
            </w:r>
          </w:p>
        </w:tc>
        <w:tc>
          <w:tcPr>
            <w:tcW w:w="0" w:type="auto"/>
            <w:tcBorders>
              <w:top w:val="single" w:sz="12" w:space="0" w:color="auto"/>
              <w:left w:val="single" w:sz="12" w:space="0" w:color="auto"/>
              <w:bottom w:val="single" w:sz="12" w:space="0" w:color="auto"/>
              <w:right w:val="single" w:sz="12" w:space="0" w:color="auto"/>
            </w:tcBorders>
            <w:shd w:val="clear" w:color="auto" w:fill="92D050"/>
            <w:vAlign w:val="center"/>
            <w:hideMark/>
          </w:tcPr>
          <w:p w14:paraId="1A05838B" w14:textId="77777777" w:rsidR="003E59B7" w:rsidRPr="005A071F" w:rsidRDefault="003E59B7" w:rsidP="00F35BF2">
            <w:pPr>
              <w:spacing w:line="276" w:lineRule="auto"/>
              <w:jc w:val="center"/>
              <w:rPr>
                <w:rFonts w:ascii="Arial" w:hAnsi="Arial" w:cs="Arial"/>
                <w:b/>
                <w:sz w:val="20"/>
                <w:lang w:val="es-ES"/>
              </w:rPr>
            </w:pPr>
            <w:r w:rsidRPr="005A071F">
              <w:rPr>
                <w:rFonts w:ascii="Arial" w:hAnsi="Arial" w:cs="Arial"/>
                <w:b/>
                <w:sz w:val="20"/>
                <w:lang w:val="es-ES"/>
              </w:rPr>
              <w:t>2015-16</w:t>
            </w:r>
          </w:p>
        </w:tc>
        <w:tc>
          <w:tcPr>
            <w:tcW w:w="0" w:type="auto"/>
            <w:tcBorders>
              <w:top w:val="single" w:sz="12" w:space="0" w:color="auto"/>
              <w:left w:val="single" w:sz="12" w:space="0" w:color="auto"/>
              <w:bottom w:val="single" w:sz="12" w:space="0" w:color="auto"/>
              <w:right w:val="single" w:sz="12" w:space="0" w:color="auto"/>
            </w:tcBorders>
            <w:shd w:val="clear" w:color="auto" w:fill="92D050"/>
            <w:vAlign w:val="center"/>
            <w:hideMark/>
          </w:tcPr>
          <w:p w14:paraId="60943D2B" w14:textId="77777777" w:rsidR="003E59B7" w:rsidRPr="005A071F" w:rsidRDefault="003E59B7" w:rsidP="00F35BF2">
            <w:pPr>
              <w:spacing w:line="276" w:lineRule="auto"/>
              <w:jc w:val="center"/>
              <w:rPr>
                <w:rFonts w:ascii="Arial" w:hAnsi="Arial" w:cs="Arial"/>
                <w:b/>
                <w:sz w:val="20"/>
                <w:lang w:val="es-ES"/>
              </w:rPr>
            </w:pPr>
            <w:r w:rsidRPr="005A071F">
              <w:rPr>
                <w:rFonts w:ascii="Arial" w:hAnsi="Arial" w:cs="Arial"/>
                <w:b/>
                <w:sz w:val="20"/>
                <w:lang w:val="es-ES"/>
              </w:rPr>
              <w:t>2016-17</w:t>
            </w:r>
          </w:p>
        </w:tc>
        <w:tc>
          <w:tcPr>
            <w:tcW w:w="0" w:type="auto"/>
            <w:tcBorders>
              <w:top w:val="single" w:sz="12" w:space="0" w:color="auto"/>
              <w:left w:val="single" w:sz="12" w:space="0" w:color="auto"/>
              <w:bottom w:val="single" w:sz="12" w:space="0" w:color="auto"/>
              <w:right w:val="single" w:sz="12" w:space="0" w:color="auto"/>
            </w:tcBorders>
            <w:shd w:val="clear" w:color="auto" w:fill="92D050"/>
            <w:vAlign w:val="center"/>
            <w:hideMark/>
          </w:tcPr>
          <w:p w14:paraId="31FB7403" w14:textId="77777777" w:rsidR="003E59B7" w:rsidRPr="005A071F" w:rsidRDefault="003E59B7" w:rsidP="00F35BF2">
            <w:pPr>
              <w:spacing w:line="276" w:lineRule="auto"/>
              <w:jc w:val="center"/>
              <w:rPr>
                <w:rFonts w:ascii="Arial" w:hAnsi="Arial" w:cs="Arial"/>
                <w:b/>
                <w:sz w:val="20"/>
                <w:lang w:val="es-ES"/>
              </w:rPr>
            </w:pPr>
            <w:r w:rsidRPr="005A071F">
              <w:rPr>
                <w:rFonts w:ascii="Arial" w:hAnsi="Arial" w:cs="Arial"/>
                <w:b/>
                <w:sz w:val="20"/>
                <w:lang w:val="es-ES"/>
              </w:rPr>
              <w:t>2017-18</w:t>
            </w:r>
          </w:p>
        </w:tc>
        <w:tc>
          <w:tcPr>
            <w:tcW w:w="1323" w:type="dxa"/>
            <w:tcBorders>
              <w:top w:val="single" w:sz="12" w:space="0" w:color="auto"/>
              <w:left w:val="single" w:sz="12" w:space="0" w:color="auto"/>
              <w:bottom w:val="single" w:sz="12" w:space="0" w:color="auto"/>
              <w:right w:val="single" w:sz="12" w:space="0" w:color="auto"/>
            </w:tcBorders>
            <w:shd w:val="clear" w:color="auto" w:fill="92D050"/>
            <w:vAlign w:val="center"/>
            <w:hideMark/>
          </w:tcPr>
          <w:p w14:paraId="169E6551" w14:textId="77777777" w:rsidR="003E59B7" w:rsidRPr="005A071F" w:rsidRDefault="003E59B7" w:rsidP="00F35BF2">
            <w:pPr>
              <w:spacing w:line="276" w:lineRule="auto"/>
              <w:jc w:val="center"/>
              <w:rPr>
                <w:rFonts w:ascii="Arial" w:hAnsi="Arial" w:cs="Arial"/>
                <w:b/>
                <w:sz w:val="20"/>
                <w:lang w:val="es-ES"/>
              </w:rPr>
            </w:pPr>
            <w:r w:rsidRPr="005A071F">
              <w:rPr>
                <w:rFonts w:ascii="Arial" w:hAnsi="Arial" w:cs="Arial"/>
                <w:b/>
                <w:sz w:val="20"/>
                <w:lang w:val="es-ES"/>
              </w:rPr>
              <w:t>2018-19</w:t>
            </w:r>
          </w:p>
        </w:tc>
      </w:tr>
      <w:tr w:rsidR="003E59B7" w:rsidRPr="005A071F" w14:paraId="3A7B9EF0" w14:textId="77777777" w:rsidTr="00F35BF2">
        <w:trPr>
          <w:trHeight w:val="764"/>
        </w:trPr>
        <w:tc>
          <w:tcPr>
            <w:tcW w:w="1751"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348AD0B0" w14:textId="77777777" w:rsidR="003E59B7" w:rsidRPr="005A071F" w:rsidRDefault="003E59B7" w:rsidP="00F35BF2">
            <w:pPr>
              <w:spacing w:line="276" w:lineRule="auto"/>
              <w:jc w:val="center"/>
              <w:rPr>
                <w:rFonts w:ascii="Arial" w:hAnsi="Arial" w:cs="Arial"/>
                <w:sz w:val="20"/>
                <w:lang w:val="es-ES"/>
              </w:rPr>
            </w:pPr>
            <w:r w:rsidRPr="005A071F">
              <w:rPr>
                <w:rFonts w:ascii="Arial" w:hAnsi="Arial" w:cs="Arial"/>
                <w:sz w:val="20"/>
                <w:lang w:val="es-ES"/>
              </w:rPr>
              <w:t>Autorizaciones concedidas</w:t>
            </w:r>
          </w:p>
        </w:tc>
        <w:tc>
          <w:tcPr>
            <w:tcW w:w="0" w:type="auto"/>
            <w:tcBorders>
              <w:top w:val="single" w:sz="12" w:space="0" w:color="auto"/>
              <w:left w:val="single" w:sz="12" w:space="0" w:color="auto"/>
              <w:bottom w:val="single" w:sz="12" w:space="0" w:color="auto"/>
              <w:right w:val="single" w:sz="12" w:space="0" w:color="auto"/>
            </w:tcBorders>
            <w:vAlign w:val="center"/>
            <w:hideMark/>
          </w:tcPr>
          <w:p w14:paraId="4C74D0D2" w14:textId="77777777" w:rsidR="003E59B7" w:rsidRPr="005A071F" w:rsidRDefault="003E59B7" w:rsidP="00F35BF2">
            <w:pPr>
              <w:spacing w:line="276" w:lineRule="auto"/>
              <w:jc w:val="center"/>
              <w:rPr>
                <w:rFonts w:ascii="Arial" w:hAnsi="Arial" w:cs="Arial"/>
                <w:sz w:val="20"/>
                <w:lang w:val="es-ES"/>
              </w:rPr>
            </w:pPr>
            <w:r w:rsidRPr="005A071F">
              <w:rPr>
                <w:rFonts w:ascii="Arial" w:hAnsi="Arial" w:cs="Arial"/>
                <w:sz w:val="20"/>
                <w:lang w:val="es-ES"/>
              </w:rPr>
              <w:t>2.280</w:t>
            </w:r>
          </w:p>
        </w:tc>
        <w:tc>
          <w:tcPr>
            <w:tcW w:w="0" w:type="auto"/>
            <w:tcBorders>
              <w:top w:val="single" w:sz="12" w:space="0" w:color="auto"/>
              <w:left w:val="single" w:sz="12" w:space="0" w:color="auto"/>
              <w:bottom w:val="single" w:sz="12" w:space="0" w:color="auto"/>
              <w:right w:val="single" w:sz="12" w:space="0" w:color="auto"/>
            </w:tcBorders>
            <w:vAlign w:val="center"/>
            <w:hideMark/>
          </w:tcPr>
          <w:p w14:paraId="387BDCCF" w14:textId="77777777" w:rsidR="003E59B7" w:rsidRPr="005A071F" w:rsidRDefault="003E59B7" w:rsidP="00F35BF2">
            <w:pPr>
              <w:spacing w:line="276" w:lineRule="auto"/>
              <w:jc w:val="center"/>
              <w:rPr>
                <w:rFonts w:ascii="Arial" w:hAnsi="Arial" w:cs="Arial"/>
                <w:sz w:val="20"/>
                <w:lang w:val="es-ES"/>
              </w:rPr>
            </w:pPr>
            <w:r w:rsidRPr="005A071F">
              <w:rPr>
                <w:rFonts w:ascii="Arial" w:hAnsi="Arial" w:cs="Arial"/>
                <w:sz w:val="20"/>
                <w:lang w:val="es-ES"/>
              </w:rPr>
              <w:t>2.277</w:t>
            </w:r>
          </w:p>
        </w:tc>
        <w:tc>
          <w:tcPr>
            <w:tcW w:w="0" w:type="auto"/>
            <w:tcBorders>
              <w:top w:val="single" w:sz="12" w:space="0" w:color="auto"/>
              <w:left w:val="single" w:sz="12" w:space="0" w:color="auto"/>
              <w:bottom w:val="single" w:sz="12" w:space="0" w:color="auto"/>
              <w:right w:val="single" w:sz="12" w:space="0" w:color="auto"/>
            </w:tcBorders>
            <w:vAlign w:val="center"/>
            <w:hideMark/>
          </w:tcPr>
          <w:p w14:paraId="02D2C6D9" w14:textId="77777777" w:rsidR="003E59B7" w:rsidRPr="005A071F" w:rsidRDefault="003E59B7" w:rsidP="00F35BF2">
            <w:pPr>
              <w:spacing w:line="276" w:lineRule="auto"/>
              <w:jc w:val="center"/>
              <w:rPr>
                <w:rFonts w:ascii="Arial" w:hAnsi="Arial" w:cs="Arial"/>
                <w:sz w:val="20"/>
                <w:lang w:val="es-ES"/>
              </w:rPr>
            </w:pPr>
            <w:r w:rsidRPr="005A071F">
              <w:rPr>
                <w:rFonts w:ascii="Arial" w:hAnsi="Arial" w:cs="Arial"/>
                <w:sz w:val="20"/>
                <w:lang w:val="es-ES"/>
              </w:rPr>
              <w:t>2.227</w:t>
            </w:r>
          </w:p>
        </w:tc>
        <w:tc>
          <w:tcPr>
            <w:tcW w:w="0" w:type="auto"/>
            <w:tcBorders>
              <w:top w:val="single" w:sz="12" w:space="0" w:color="auto"/>
              <w:left w:val="single" w:sz="12" w:space="0" w:color="auto"/>
              <w:bottom w:val="single" w:sz="12" w:space="0" w:color="auto"/>
              <w:right w:val="single" w:sz="12" w:space="0" w:color="auto"/>
            </w:tcBorders>
            <w:vAlign w:val="center"/>
            <w:hideMark/>
          </w:tcPr>
          <w:p w14:paraId="6B23178B" w14:textId="77777777" w:rsidR="003E59B7" w:rsidRPr="005A071F" w:rsidRDefault="003E59B7" w:rsidP="00F35BF2">
            <w:pPr>
              <w:spacing w:line="276" w:lineRule="auto"/>
              <w:jc w:val="center"/>
              <w:rPr>
                <w:rFonts w:ascii="Arial" w:hAnsi="Arial" w:cs="Arial"/>
                <w:sz w:val="20"/>
                <w:lang w:val="es-ES"/>
              </w:rPr>
            </w:pPr>
            <w:r w:rsidRPr="005A071F">
              <w:rPr>
                <w:rFonts w:ascii="Arial" w:hAnsi="Arial" w:cs="Arial"/>
                <w:sz w:val="20"/>
                <w:lang w:val="es-ES"/>
              </w:rPr>
              <w:t>2.178</w:t>
            </w:r>
          </w:p>
        </w:tc>
        <w:tc>
          <w:tcPr>
            <w:tcW w:w="0" w:type="auto"/>
            <w:tcBorders>
              <w:top w:val="single" w:sz="12" w:space="0" w:color="auto"/>
              <w:left w:val="single" w:sz="12" w:space="0" w:color="auto"/>
              <w:bottom w:val="single" w:sz="12" w:space="0" w:color="auto"/>
              <w:right w:val="single" w:sz="12" w:space="0" w:color="auto"/>
            </w:tcBorders>
            <w:vAlign w:val="center"/>
            <w:hideMark/>
          </w:tcPr>
          <w:p w14:paraId="3C4B2FDA" w14:textId="77777777" w:rsidR="003E59B7" w:rsidRPr="005A071F" w:rsidRDefault="003E59B7" w:rsidP="00F35BF2">
            <w:pPr>
              <w:spacing w:line="276" w:lineRule="auto"/>
              <w:jc w:val="center"/>
              <w:rPr>
                <w:rFonts w:ascii="Arial" w:hAnsi="Arial" w:cs="Arial"/>
                <w:sz w:val="20"/>
                <w:lang w:val="es-ES"/>
              </w:rPr>
            </w:pPr>
            <w:r w:rsidRPr="005A071F">
              <w:rPr>
                <w:rFonts w:ascii="Arial" w:hAnsi="Arial" w:cs="Arial"/>
                <w:sz w:val="20"/>
                <w:lang w:val="es-ES"/>
              </w:rPr>
              <w:t>5.041</w:t>
            </w:r>
          </w:p>
        </w:tc>
        <w:tc>
          <w:tcPr>
            <w:tcW w:w="0" w:type="auto"/>
            <w:tcBorders>
              <w:top w:val="single" w:sz="12" w:space="0" w:color="auto"/>
              <w:left w:val="single" w:sz="12" w:space="0" w:color="auto"/>
              <w:bottom w:val="single" w:sz="12" w:space="0" w:color="auto"/>
              <w:right w:val="single" w:sz="12" w:space="0" w:color="auto"/>
            </w:tcBorders>
            <w:vAlign w:val="center"/>
            <w:hideMark/>
          </w:tcPr>
          <w:p w14:paraId="2B778E72" w14:textId="77777777" w:rsidR="003E59B7" w:rsidRPr="005A071F" w:rsidRDefault="003E59B7" w:rsidP="00F35BF2">
            <w:pPr>
              <w:spacing w:line="276" w:lineRule="auto"/>
              <w:jc w:val="center"/>
              <w:rPr>
                <w:rFonts w:ascii="Arial" w:hAnsi="Arial" w:cs="Arial"/>
                <w:sz w:val="20"/>
                <w:lang w:val="es-ES"/>
              </w:rPr>
            </w:pPr>
            <w:r w:rsidRPr="005A071F">
              <w:rPr>
                <w:rFonts w:ascii="Arial" w:hAnsi="Arial" w:cs="Arial"/>
                <w:sz w:val="20"/>
                <w:lang w:val="es-ES"/>
              </w:rPr>
              <w:t>16.832</w:t>
            </w:r>
          </w:p>
        </w:tc>
        <w:tc>
          <w:tcPr>
            <w:tcW w:w="1323" w:type="dxa"/>
            <w:tcBorders>
              <w:top w:val="single" w:sz="12" w:space="0" w:color="auto"/>
              <w:left w:val="single" w:sz="12" w:space="0" w:color="auto"/>
              <w:bottom w:val="single" w:sz="12" w:space="0" w:color="auto"/>
              <w:right w:val="single" w:sz="12" w:space="0" w:color="auto"/>
            </w:tcBorders>
            <w:vAlign w:val="center"/>
            <w:hideMark/>
          </w:tcPr>
          <w:p w14:paraId="24A0737F" w14:textId="77777777" w:rsidR="003E59B7" w:rsidRPr="005A071F" w:rsidRDefault="003E59B7" w:rsidP="00F35BF2">
            <w:pPr>
              <w:spacing w:line="276" w:lineRule="auto"/>
              <w:jc w:val="center"/>
              <w:rPr>
                <w:rFonts w:ascii="Arial" w:hAnsi="Arial" w:cs="Arial"/>
                <w:sz w:val="20"/>
                <w:lang w:val="es-ES"/>
              </w:rPr>
            </w:pPr>
            <w:r w:rsidRPr="005A071F">
              <w:rPr>
                <w:rFonts w:ascii="Arial" w:hAnsi="Arial" w:cs="Arial"/>
                <w:sz w:val="20"/>
                <w:lang w:val="es-ES"/>
              </w:rPr>
              <w:t>16.391</w:t>
            </w:r>
          </w:p>
        </w:tc>
      </w:tr>
      <w:tr w:rsidR="003E59B7" w:rsidRPr="005A071F" w14:paraId="0C0AFEC9" w14:textId="77777777" w:rsidTr="00F35BF2">
        <w:trPr>
          <w:trHeight w:val="522"/>
        </w:trPr>
        <w:tc>
          <w:tcPr>
            <w:tcW w:w="1751"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338D21D3" w14:textId="77777777" w:rsidR="003E59B7" w:rsidRPr="005A071F" w:rsidRDefault="003E59B7" w:rsidP="00F35BF2">
            <w:pPr>
              <w:spacing w:line="276" w:lineRule="auto"/>
              <w:jc w:val="center"/>
              <w:rPr>
                <w:rFonts w:ascii="Arial" w:hAnsi="Arial" w:cs="Arial"/>
                <w:sz w:val="20"/>
                <w:lang w:val="es-ES"/>
              </w:rPr>
            </w:pPr>
            <w:r w:rsidRPr="005A071F">
              <w:rPr>
                <w:rFonts w:ascii="Arial" w:hAnsi="Arial" w:cs="Arial"/>
                <w:sz w:val="20"/>
                <w:lang w:val="es-ES"/>
              </w:rPr>
              <w:t>Desplazamientos</w:t>
            </w:r>
          </w:p>
        </w:tc>
        <w:tc>
          <w:tcPr>
            <w:tcW w:w="0" w:type="auto"/>
            <w:tcBorders>
              <w:top w:val="single" w:sz="12" w:space="0" w:color="auto"/>
              <w:left w:val="single" w:sz="12" w:space="0" w:color="auto"/>
              <w:bottom w:val="single" w:sz="12" w:space="0" w:color="auto"/>
              <w:right w:val="single" w:sz="12" w:space="0" w:color="auto"/>
            </w:tcBorders>
            <w:vAlign w:val="center"/>
            <w:hideMark/>
          </w:tcPr>
          <w:p w14:paraId="48575DD0" w14:textId="77777777" w:rsidR="003E59B7" w:rsidRPr="005A071F" w:rsidRDefault="003E59B7" w:rsidP="00F35BF2">
            <w:pPr>
              <w:spacing w:line="276" w:lineRule="auto"/>
              <w:jc w:val="center"/>
              <w:rPr>
                <w:rFonts w:ascii="Arial" w:hAnsi="Arial" w:cs="Arial"/>
                <w:sz w:val="20"/>
                <w:lang w:val="es-ES"/>
              </w:rPr>
            </w:pPr>
            <w:r w:rsidRPr="005A071F">
              <w:rPr>
                <w:rFonts w:ascii="Arial" w:hAnsi="Arial" w:cs="Arial"/>
                <w:sz w:val="20"/>
                <w:lang w:val="es-ES"/>
              </w:rPr>
              <w:t>2.145</w:t>
            </w:r>
          </w:p>
        </w:tc>
        <w:tc>
          <w:tcPr>
            <w:tcW w:w="0" w:type="auto"/>
            <w:tcBorders>
              <w:top w:val="single" w:sz="12" w:space="0" w:color="auto"/>
              <w:left w:val="single" w:sz="12" w:space="0" w:color="auto"/>
              <w:bottom w:val="single" w:sz="12" w:space="0" w:color="auto"/>
              <w:right w:val="single" w:sz="12" w:space="0" w:color="auto"/>
            </w:tcBorders>
            <w:vAlign w:val="center"/>
            <w:hideMark/>
          </w:tcPr>
          <w:p w14:paraId="5AB6DD50" w14:textId="77777777" w:rsidR="003E59B7" w:rsidRPr="005A071F" w:rsidRDefault="003E59B7" w:rsidP="00F35BF2">
            <w:pPr>
              <w:spacing w:line="276" w:lineRule="auto"/>
              <w:jc w:val="center"/>
              <w:rPr>
                <w:rFonts w:ascii="Arial" w:hAnsi="Arial" w:cs="Arial"/>
                <w:sz w:val="20"/>
                <w:lang w:val="es-ES"/>
              </w:rPr>
            </w:pPr>
            <w:r w:rsidRPr="005A071F">
              <w:rPr>
                <w:rFonts w:ascii="Arial" w:hAnsi="Arial" w:cs="Arial"/>
                <w:sz w:val="20"/>
                <w:lang w:val="es-ES"/>
              </w:rPr>
              <w:t>2.183</w:t>
            </w:r>
          </w:p>
        </w:tc>
        <w:tc>
          <w:tcPr>
            <w:tcW w:w="0" w:type="auto"/>
            <w:tcBorders>
              <w:top w:val="single" w:sz="12" w:space="0" w:color="auto"/>
              <w:left w:val="single" w:sz="12" w:space="0" w:color="auto"/>
              <w:bottom w:val="single" w:sz="12" w:space="0" w:color="auto"/>
              <w:right w:val="single" w:sz="12" w:space="0" w:color="auto"/>
            </w:tcBorders>
            <w:vAlign w:val="center"/>
            <w:hideMark/>
          </w:tcPr>
          <w:p w14:paraId="34551D5B" w14:textId="77777777" w:rsidR="003E59B7" w:rsidRPr="005A071F" w:rsidRDefault="003E59B7" w:rsidP="00F35BF2">
            <w:pPr>
              <w:spacing w:line="276" w:lineRule="auto"/>
              <w:jc w:val="center"/>
              <w:rPr>
                <w:rFonts w:ascii="Arial" w:hAnsi="Arial" w:cs="Arial"/>
                <w:sz w:val="20"/>
                <w:lang w:val="es-ES"/>
              </w:rPr>
            </w:pPr>
            <w:r w:rsidRPr="005A071F">
              <w:rPr>
                <w:rFonts w:ascii="Arial" w:hAnsi="Arial" w:cs="Arial"/>
                <w:sz w:val="20"/>
                <w:lang w:val="es-ES"/>
              </w:rPr>
              <w:t>2.131</w:t>
            </w:r>
          </w:p>
        </w:tc>
        <w:tc>
          <w:tcPr>
            <w:tcW w:w="0" w:type="auto"/>
            <w:tcBorders>
              <w:top w:val="single" w:sz="12" w:space="0" w:color="auto"/>
              <w:left w:val="single" w:sz="12" w:space="0" w:color="auto"/>
              <w:bottom w:val="single" w:sz="12" w:space="0" w:color="auto"/>
              <w:right w:val="single" w:sz="12" w:space="0" w:color="auto"/>
            </w:tcBorders>
            <w:vAlign w:val="center"/>
            <w:hideMark/>
          </w:tcPr>
          <w:p w14:paraId="4053F6FD" w14:textId="77777777" w:rsidR="003E59B7" w:rsidRPr="005A071F" w:rsidRDefault="003E59B7" w:rsidP="00F35BF2">
            <w:pPr>
              <w:spacing w:line="276" w:lineRule="auto"/>
              <w:jc w:val="center"/>
              <w:rPr>
                <w:rFonts w:ascii="Arial" w:hAnsi="Arial" w:cs="Arial"/>
                <w:sz w:val="20"/>
                <w:lang w:val="es-ES"/>
              </w:rPr>
            </w:pPr>
            <w:r w:rsidRPr="005A071F">
              <w:rPr>
                <w:rFonts w:ascii="Arial" w:hAnsi="Arial" w:cs="Arial"/>
                <w:sz w:val="20"/>
                <w:lang w:val="es-ES"/>
              </w:rPr>
              <w:t>2.094</w:t>
            </w:r>
          </w:p>
        </w:tc>
        <w:tc>
          <w:tcPr>
            <w:tcW w:w="0" w:type="auto"/>
            <w:tcBorders>
              <w:top w:val="single" w:sz="12" w:space="0" w:color="auto"/>
              <w:left w:val="single" w:sz="12" w:space="0" w:color="auto"/>
              <w:bottom w:val="single" w:sz="12" w:space="0" w:color="auto"/>
              <w:right w:val="single" w:sz="12" w:space="0" w:color="auto"/>
            </w:tcBorders>
            <w:vAlign w:val="center"/>
            <w:hideMark/>
          </w:tcPr>
          <w:p w14:paraId="703713F6" w14:textId="77777777" w:rsidR="003E59B7" w:rsidRPr="005A071F" w:rsidRDefault="003E59B7" w:rsidP="00F35BF2">
            <w:pPr>
              <w:spacing w:line="276" w:lineRule="auto"/>
              <w:jc w:val="center"/>
              <w:rPr>
                <w:rFonts w:ascii="Arial" w:hAnsi="Arial" w:cs="Arial"/>
                <w:sz w:val="20"/>
                <w:lang w:val="es-ES"/>
              </w:rPr>
            </w:pPr>
            <w:r w:rsidRPr="005A071F">
              <w:rPr>
                <w:rFonts w:ascii="Arial" w:hAnsi="Arial" w:cs="Arial"/>
                <w:sz w:val="20"/>
                <w:lang w:val="es-ES"/>
              </w:rPr>
              <w:t>4.573</w:t>
            </w:r>
          </w:p>
        </w:tc>
        <w:tc>
          <w:tcPr>
            <w:tcW w:w="0" w:type="auto"/>
            <w:tcBorders>
              <w:top w:val="single" w:sz="12" w:space="0" w:color="auto"/>
              <w:left w:val="single" w:sz="12" w:space="0" w:color="auto"/>
              <w:bottom w:val="single" w:sz="12" w:space="0" w:color="auto"/>
              <w:right w:val="single" w:sz="12" w:space="0" w:color="auto"/>
            </w:tcBorders>
            <w:vAlign w:val="center"/>
            <w:hideMark/>
          </w:tcPr>
          <w:p w14:paraId="0C05AC39" w14:textId="77777777" w:rsidR="003E59B7" w:rsidRPr="005A071F" w:rsidRDefault="003E59B7" w:rsidP="00F35BF2">
            <w:pPr>
              <w:spacing w:line="276" w:lineRule="auto"/>
              <w:jc w:val="center"/>
              <w:rPr>
                <w:rFonts w:ascii="Arial" w:hAnsi="Arial" w:cs="Arial"/>
                <w:sz w:val="20"/>
                <w:lang w:val="es-ES"/>
              </w:rPr>
            </w:pPr>
            <w:r w:rsidRPr="005A071F">
              <w:rPr>
                <w:rFonts w:ascii="Arial" w:hAnsi="Arial" w:cs="Arial"/>
                <w:sz w:val="20"/>
                <w:lang w:val="es-ES"/>
              </w:rPr>
              <w:t>15.134</w:t>
            </w:r>
          </w:p>
        </w:tc>
        <w:tc>
          <w:tcPr>
            <w:tcW w:w="1323" w:type="dxa"/>
            <w:tcBorders>
              <w:top w:val="single" w:sz="12" w:space="0" w:color="auto"/>
              <w:left w:val="single" w:sz="12" w:space="0" w:color="auto"/>
              <w:bottom w:val="single" w:sz="12" w:space="0" w:color="auto"/>
              <w:right w:val="single" w:sz="12" w:space="0" w:color="auto"/>
            </w:tcBorders>
            <w:vAlign w:val="center"/>
            <w:hideMark/>
          </w:tcPr>
          <w:p w14:paraId="50ACB0E4" w14:textId="77777777" w:rsidR="003E59B7" w:rsidRPr="005A071F" w:rsidRDefault="003E59B7" w:rsidP="00F35BF2">
            <w:pPr>
              <w:spacing w:line="276" w:lineRule="auto"/>
              <w:jc w:val="center"/>
              <w:rPr>
                <w:rFonts w:ascii="Arial" w:hAnsi="Arial" w:cs="Arial"/>
                <w:sz w:val="20"/>
                <w:lang w:val="es-ES"/>
              </w:rPr>
            </w:pPr>
            <w:r w:rsidRPr="005A071F">
              <w:rPr>
                <w:rFonts w:ascii="Arial" w:hAnsi="Arial" w:cs="Arial"/>
                <w:sz w:val="20"/>
                <w:lang w:val="es-ES"/>
              </w:rPr>
              <w:t>14.411</w:t>
            </w:r>
          </w:p>
        </w:tc>
      </w:tr>
    </w:tbl>
    <w:p w14:paraId="1D2A8AE9" w14:textId="77777777" w:rsidR="003E59B7" w:rsidRPr="00A14ACA" w:rsidRDefault="003E59B7" w:rsidP="003E59B7">
      <w:pPr>
        <w:spacing w:after="160" w:line="276" w:lineRule="auto"/>
        <w:ind w:left="567"/>
        <w:jc w:val="both"/>
        <w:rPr>
          <w:rFonts w:ascii="Arial" w:eastAsia="Calibri" w:hAnsi="Arial" w:cs="Arial"/>
          <w:szCs w:val="22"/>
          <w:lang w:val="es-ES" w:eastAsia="en-US"/>
        </w:rPr>
      </w:pPr>
    </w:p>
    <w:p w14:paraId="041FCF8F" w14:textId="799BE2BA" w:rsidR="003E59B7" w:rsidRPr="00456013" w:rsidRDefault="003E59B7" w:rsidP="003E59B7">
      <w:pPr>
        <w:numPr>
          <w:ilvl w:val="0"/>
          <w:numId w:val="2"/>
        </w:numPr>
        <w:spacing w:after="120" w:line="276" w:lineRule="auto"/>
        <w:ind w:left="567"/>
        <w:jc w:val="both"/>
        <w:rPr>
          <w:rFonts w:ascii="Arial" w:hAnsi="Arial" w:cs="Arial"/>
          <w:b/>
          <w:szCs w:val="22"/>
          <w:lang w:val="es-ES"/>
        </w:rPr>
      </w:pPr>
      <w:r w:rsidRPr="00A14ACA">
        <w:rPr>
          <w:rFonts w:ascii="Arial" w:hAnsi="Arial" w:cs="Arial"/>
          <w:b/>
          <w:color w:val="0D0D0D"/>
          <w:szCs w:val="22"/>
          <w:u w:val="single"/>
          <w:lang w:val="es-ES"/>
        </w:rPr>
        <w:t>BALANCE DE LA CAMPAÑA DE HUELVA 2018-19</w:t>
      </w:r>
      <w:r w:rsidRPr="00A14ACA">
        <w:rPr>
          <w:rFonts w:ascii="Arial" w:hAnsi="Arial" w:cs="Arial"/>
          <w:b/>
          <w:color w:val="800000"/>
          <w:szCs w:val="22"/>
          <w:u w:val="single"/>
          <w:lang w:val="es-ES"/>
        </w:rPr>
        <w:t>.</w:t>
      </w:r>
    </w:p>
    <w:p w14:paraId="6C55F726" w14:textId="77777777" w:rsidR="00456013" w:rsidRPr="00A14ACA" w:rsidRDefault="00456013" w:rsidP="00456013">
      <w:pPr>
        <w:spacing w:after="120" w:line="276" w:lineRule="auto"/>
        <w:ind w:left="567"/>
        <w:jc w:val="both"/>
        <w:rPr>
          <w:rFonts w:ascii="Arial" w:hAnsi="Arial" w:cs="Arial"/>
          <w:b/>
          <w:szCs w:val="22"/>
          <w:lang w:val="es-ES"/>
        </w:rPr>
      </w:pPr>
    </w:p>
    <w:p w14:paraId="536A5C4B" w14:textId="77777777" w:rsidR="003E59B7" w:rsidRPr="00A14ACA" w:rsidRDefault="003E59B7" w:rsidP="003E59B7">
      <w:pPr>
        <w:spacing w:after="120" w:line="276" w:lineRule="auto"/>
        <w:ind w:left="567"/>
        <w:jc w:val="both"/>
        <w:rPr>
          <w:rFonts w:ascii="Arial" w:hAnsi="Arial" w:cs="Arial"/>
          <w:b/>
          <w:i/>
          <w:szCs w:val="22"/>
          <w:lang w:val="es-ES"/>
        </w:rPr>
      </w:pPr>
      <w:r w:rsidRPr="00A14ACA">
        <w:rPr>
          <w:rFonts w:ascii="Arial" w:hAnsi="Arial" w:cs="Arial"/>
          <w:b/>
          <w:i/>
          <w:szCs w:val="22"/>
          <w:lang w:val="es-ES"/>
        </w:rPr>
        <w:t>2.1. Antecedentes: refuerzo de la planificación</w:t>
      </w:r>
      <w:r>
        <w:rPr>
          <w:rFonts w:ascii="Arial" w:hAnsi="Arial" w:cs="Arial"/>
          <w:b/>
          <w:i/>
          <w:szCs w:val="22"/>
          <w:lang w:val="es-ES"/>
        </w:rPr>
        <w:t>.</w:t>
      </w:r>
    </w:p>
    <w:p w14:paraId="32637DB1" w14:textId="77777777" w:rsidR="003E59B7" w:rsidRDefault="003E59B7" w:rsidP="003E59B7">
      <w:pPr>
        <w:spacing w:after="160" w:line="276" w:lineRule="auto"/>
        <w:ind w:left="567"/>
        <w:jc w:val="both"/>
        <w:rPr>
          <w:rFonts w:ascii="Arial" w:eastAsia="Calibri" w:hAnsi="Arial" w:cs="Arial"/>
          <w:szCs w:val="22"/>
          <w:lang w:val="es-ES" w:eastAsia="en-US"/>
        </w:rPr>
      </w:pPr>
      <w:r w:rsidRPr="00A14ACA">
        <w:rPr>
          <w:rFonts w:ascii="Arial" w:eastAsia="Calibri" w:hAnsi="Arial" w:cs="Arial"/>
          <w:szCs w:val="22"/>
          <w:lang w:val="es-ES" w:eastAsia="en-US"/>
        </w:rPr>
        <w:t xml:space="preserve">Tras la finalización de la campaña 2017/2018, en el marco de la fluida relación con las autoridades marroquíes, así como con las Administraciones y actores participantes en la campaña, se acordó adelantar la gestión administrativa al mes de agosto y paralelamente trabajar en una adecuada planificación y coordinación para evitar incidencias durante su desarrollo: </w:t>
      </w:r>
    </w:p>
    <w:p w14:paraId="2DD9BDFA" w14:textId="77777777" w:rsidR="003E59B7" w:rsidRPr="009C5F2F" w:rsidRDefault="003E59B7" w:rsidP="003E59B7">
      <w:pPr>
        <w:spacing w:after="160" w:line="276" w:lineRule="auto"/>
        <w:ind w:left="567"/>
        <w:jc w:val="both"/>
        <w:rPr>
          <w:rFonts w:ascii="Arial" w:eastAsia="Calibri" w:hAnsi="Arial" w:cs="Arial"/>
          <w:szCs w:val="22"/>
          <w:lang w:val="es-ES" w:eastAsia="en-US"/>
        </w:rPr>
      </w:pPr>
      <w:r>
        <w:rPr>
          <w:rFonts w:ascii="Arial" w:eastAsia="Calibri" w:hAnsi="Arial" w:cs="Arial"/>
          <w:szCs w:val="22"/>
          <w:lang w:val="es-ES" w:eastAsia="en-US"/>
        </w:rPr>
        <w:t xml:space="preserve">En esta campaña se han introducido las siguientes mejoras: </w:t>
      </w:r>
    </w:p>
    <w:p w14:paraId="1559EF06" w14:textId="77777777" w:rsidR="003E59B7" w:rsidRPr="00A14ACA" w:rsidRDefault="003E59B7" w:rsidP="003E59B7">
      <w:pPr>
        <w:numPr>
          <w:ilvl w:val="0"/>
          <w:numId w:val="3"/>
        </w:numPr>
        <w:spacing w:after="160" w:line="276" w:lineRule="auto"/>
        <w:ind w:left="567"/>
        <w:jc w:val="both"/>
        <w:rPr>
          <w:rFonts w:ascii="Arial" w:eastAsia="Calibri" w:hAnsi="Arial" w:cs="Arial"/>
          <w:szCs w:val="22"/>
          <w:lang w:val="es-ES" w:eastAsia="en-US"/>
        </w:rPr>
      </w:pPr>
      <w:r w:rsidRPr="009C5F2F">
        <w:rPr>
          <w:rFonts w:ascii="Arial" w:hAnsi="Arial" w:cs="Arial"/>
          <w:szCs w:val="22"/>
          <w:lang w:val="es-ES"/>
        </w:rPr>
        <w:t>Refuerzo de la</w:t>
      </w:r>
      <w:r w:rsidRPr="009C5F2F">
        <w:rPr>
          <w:rFonts w:ascii="Arial" w:eastAsia="Calibri" w:hAnsi="Arial" w:cs="Arial"/>
          <w:szCs w:val="22"/>
          <w:lang w:val="es-ES" w:eastAsia="en-US"/>
        </w:rPr>
        <w:t xml:space="preserve"> coordinación</w:t>
      </w:r>
      <w:r w:rsidRPr="00A14ACA">
        <w:rPr>
          <w:rFonts w:ascii="Arial" w:eastAsia="Calibri" w:hAnsi="Arial" w:cs="Arial"/>
          <w:szCs w:val="22"/>
          <w:lang w:val="es-ES" w:eastAsia="en-US"/>
        </w:rPr>
        <w:t xml:space="preserve"> mediante la intensificación de las reuniones</w:t>
      </w:r>
      <w:r>
        <w:rPr>
          <w:rFonts w:ascii="Arial" w:eastAsia="Calibri" w:hAnsi="Arial" w:cs="Arial"/>
          <w:szCs w:val="22"/>
          <w:lang w:val="es-ES" w:eastAsia="en-US"/>
        </w:rPr>
        <w:t xml:space="preserve"> preparatorias </w:t>
      </w:r>
    </w:p>
    <w:p w14:paraId="36336C6E" w14:textId="77777777" w:rsidR="003E59B7" w:rsidRPr="00A14ACA" w:rsidRDefault="003E59B7" w:rsidP="003E59B7">
      <w:pPr>
        <w:numPr>
          <w:ilvl w:val="0"/>
          <w:numId w:val="3"/>
        </w:numPr>
        <w:spacing w:after="160" w:line="276" w:lineRule="auto"/>
        <w:ind w:left="567"/>
        <w:jc w:val="both"/>
        <w:rPr>
          <w:rFonts w:ascii="Arial" w:eastAsia="Calibri" w:hAnsi="Arial" w:cs="Arial"/>
          <w:szCs w:val="22"/>
          <w:lang w:val="es-ES" w:eastAsia="en-US"/>
        </w:rPr>
      </w:pPr>
      <w:r w:rsidRPr="00A14ACA">
        <w:rPr>
          <w:rFonts w:ascii="Arial" w:hAnsi="Arial" w:cs="Arial"/>
          <w:szCs w:val="22"/>
          <w:lang w:val="es-ES"/>
        </w:rPr>
        <w:lastRenderedPageBreak/>
        <w:t>Remisión de instrucciones de actuación a las asociaciones empresariales agrícolas</w:t>
      </w:r>
      <w:r w:rsidRPr="00A14ACA">
        <w:rPr>
          <w:rFonts w:ascii="Arial" w:eastAsia="Calibri" w:hAnsi="Arial" w:cs="Arial"/>
          <w:szCs w:val="22"/>
          <w:lang w:val="es-ES" w:eastAsia="en-US"/>
        </w:rPr>
        <w:t xml:space="preserve"> onubenses</w:t>
      </w:r>
      <w:r w:rsidRPr="00A14ACA">
        <w:rPr>
          <w:sz w:val="24"/>
          <w:szCs w:val="24"/>
          <w:lang w:val="es-ES"/>
        </w:rPr>
        <w:t xml:space="preserve"> </w:t>
      </w:r>
      <w:r w:rsidRPr="00A14ACA">
        <w:rPr>
          <w:rFonts w:ascii="Arial" w:eastAsia="Calibri" w:hAnsi="Arial" w:cs="Arial"/>
          <w:szCs w:val="22"/>
          <w:lang w:val="es-ES" w:eastAsia="en-US"/>
        </w:rPr>
        <w:t>en aras a racionalizar y agilizar la gestión administrativa de la campaña.</w:t>
      </w:r>
    </w:p>
    <w:p w14:paraId="6DD39B17" w14:textId="77777777" w:rsidR="003E59B7" w:rsidRPr="00A14ACA" w:rsidRDefault="003E59B7" w:rsidP="003E59B7">
      <w:pPr>
        <w:numPr>
          <w:ilvl w:val="0"/>
          <w:numId w:val="3"/>
        </w:numPr>
        <w:spacing w:after="160" w:line="276" w:lineRule="auto"/>
        <w:ind w:left="567"/>
        <w:jc w:val="both"/>
        <w:rPr>
          <w:rFonts w:ascii="Arial" w:eastAsia="Calibri" w:hAnsi="Arial" w:cs="Arial"/>
          <w:szCs w:val="22"/>
          <w:lang w:val="es-ES" w:eastAsia="en-US"/>
        </w:rPr>
      </w:pPr>
      <w:r w:rsidRPr="00A14ACA">
        <w:rPr>
          <w:rFonts w:ascii="Arial" w:eastAsia="Calibri" w:hAnsi="Arial" w:cs="Arial"/>
          <w:szCs w:val="22"/>
          <w:lang w:val="es-ES" w:eastAsia="en-US"/>
        </w:rPr>
        <w:t>Revisión del protocolo de actuación, actualización del mapa de alojamientos</w:t>
      </w:r>
      <w:r w:rsidRPr="00A14ACA">
        <w:rPr>
          <w:sz w:val="24"/>
          <w:szCs w:val="24"/>
          <w:lang w:val="es-ES"/>
        </w:rPr>
        <w:t xml:space="preserve">, </w:t>
      </w:r>
      <w:r w:rsidRPr="00A14ACA">
        <w:rPr>
          <w:rFonts w:ascii="Arial" w:eastAsia="Calibri" w:hAnsi="Arial" w:cs="Arial"/>
          <w:szCs w:val="22"/>
          <w:lang w:val="es-ES" w:eastAsia="en-US"/>
        </w:rPr>
        <w:t>instándose asimismo a los empresarios a asegurar que los mismos cumplen con las condiciones de habitabilidad exigibles.</w:t>
      </w:r>
    </w:p>
    <w:p w14:paraId="69F1A71B" w14:textId="77777777" w:rsidR="003E59B7" w:rsidRPr="00A14ACA" w:rsidRDefault="003E59B7" w:rsidP="003E59B7">
      <w:pPr>
        <w:numPr>
          <w:ilvl w:val="0"/>
          <w:numId w:val="3"/>
        </w:numPr>
        <w:spacing w:after="160" w:line="276" w:lineRule="auto"/>
        <w:ind w:left="567"/>
        <w:jc w:val="both"/>
        <w:rPr>
          <w:rFonts w:ascii="Arial" w:eastAsia="Calibri" w:hAnsi="Arial" w:cs="Arial"/>
          <w:szCs w:val="22"/>
          <w:lang w:val="es-ES" w:eastAsia="en-US"/>
        </w:rPr>
      </w:pPr>
      <w:r w:rsidRPr="00A14ACA">
        <w:rPr>
          <w:rFonts w:ascii="Arial" w:eastAsia="Calibri" w:hAnsi="Arial" w:cs="Arial"/>
          <w:szCs w:val="22"/>
          <w:lang w:val="es-ES" w:eastAsia="en-US"/>
        </w:rPr>
        <w:t>Facilitar una mayor comunicación entre el Servicio Público de Empleo Estatal (SEPE) y el servicio público de empleo andaluz (SAE) con el objeto de mejorar la coordinación en la publicación de las ofertas de trabajo.</w:t>
      </w:r>
    </w:p>
    <w:p w14:paraId="76A4AA6C" w14:textId="77777777" w:rsidR="003E59B7" w:rsidRPr="00A14ACA" w:rsidRDefault="003E59B7" w:rsidP="003E59B7">
      <w:pPr>
        <w:numPr>
          <w:ilvl w:val="0"/>
          <w:numId w:val="3"/>
        </w:numPr>
        <w:spacing w:after="160" w:line="276" w:lineRule="auto"/>
        <w:ind w:left="567"/>
        <w:jc w:val="both"/>
        <w:rPr>
          <w:rFonts w:ascii="Arial" w:eastAsia="Calibri" w:hAnsi="Arial" w:cs="Arial"/>
          <w:szCs w:val="22"/>
          <w:lang w:val="es-ES" w:eastAsia="en-US"/>
        </w:rPr>
      </w:pPr>
      <w:r w:rsidRPr="00A14ACA">
        <w:rPr>
          <w:rFonts w:ascii="Arial" w:eastAsia="Calibri" w:hAnsi="Arial" w:cs="Arial"/>
          <w:szCs w:val="22"/>
          <w:lang w:val="es-ES" w:eastAsia="en-US"/>
        </w:rPr>
        <w:t>Celebración de un taller de formación de formadores</w:t>
      </w:r>
      <w:r w:rsidRPr="00A14ACA">
        <w:rPr>
          <w:sz w:val="24"/>
          <w:szCs w:val="24"/>
          <w:lang w:val="es-ES"/>
        </w:rPr>
        <w:t xml:space="preserve"> </w:t>
      </w:r>
      <w:r w:rsidRPr="00A14ACA">
        <w:rPr>
          <w:rFonts w:ascii="Arial" w:eastAsia="Calibri" w:hAnsi="Arial" w:cs="Arial"/>
          <w:szCs w:val="22"/>
          <w:lang w:val="es-ES" w:eastAsia="en-US"/>
        </w:rPr>
        <w:t>sobre las condiciones laborales de los trabajadores en el marco de GECCO, celebrado en Marruecos, fruto del acuerdo previo entre ANAPEC y las asociaciones empresariales de Huelva.</w:t>
      </w:r>
    </w:p>
    <w:p w14:paraId="262AD57E" w14:textId="77777777" w:rsidR="003E59B7" w:rsidRPr="00A14ACA" w:rsidRDefault="003E59B7" w:rsidP="003E59B7">
      <w:pPr>
        <w:numPr>
          <w:ilvl w:val="0"/>
          <w:numId w:val="3"/>
        </w:numPr>
        <w:spacing w:after="160" w:line="276" w:lineRule="auto"/>
        <w:ind w:left="567"/>
        <w:jc w:val="both"/>
        <w:rPr>
          <w:rFonts w:ascii="Arial" w:eastAsia="Calibri" w:hAnsi="Arial" w:cs="Arial"/>
          <w:szCs w:val="22"/>
          <w:lang w:val="es-ES" w:eastAsia="en-US"/>
        </w:rPr>
      </w:pPr>
      <w:r w:rsidRPr="00A14ACA">
        <w:rPr>
          <w:rFonts w:ascii="Arial" w:eastAsia="Calibri" w:hAnsi="Arial" w:cs="Arial"/>
          <w:szCs w:val="22"/>
          <w:lang w:val="es-ES" w:eastAsia="en-US"/>
        </w:rPr>
        <w:t>Intensificar el contacto con la Junta de Andalucía al objeto de fomentar la implantación de la figura del “mediador sociolaboral” en la labor de acompañamiento a l</w:t>
      </w:r>
      <w:r>
        <w:rPr>
          <w:rFonts w:ascii="Arial" w:eastAsia="Calibri" w:hAnsi="Arial" w:cs="Arial"/>
          <w:szCs w:val="22"/>
          <w:lang w:val="es-ES" w:eastAsia="en-US"/>
        </w:rPr>
        <w:t>a</w:t>
      </w:r>
      <w:r w:rsidRPr="00A14ACA">
        <w:rPr>
          <w:rFonts w:ascii="Arial" w:eastAsia="Calibri" w:hAnsi="Arial" w:cs="Arial"/>
          <w:szCs w:val="22"/>
          <w:lang w:val="es-ES" w:eastAsia="en-US"/>
        </w:rPr>
        <w:t>s trabajador</w:t>
      </w:r>
      <w:r>
        <w:rPr>
          <w:rFonts w:ascii="Arial" w:eastAsia="Calibri" w:hAnsi="Arial" w:cs="Arial"/>
          <w:szCs w:val="22"/>
          <w:lang w:val="es-ES" w:eastAsia="en-US"/>
        </w:rPr>
        <w:t>a</w:t>
      </w:r>
      <w:r w:rsidRPr="00A14ACA">
        <w:rPr>
          <w:rFonts w:ascii="Arial" w:eastAsia="Calibri" w:hAnsi="Arial" w:cs="Arial"/>
          <w:szCs w:val="22"/>
          <w:lang w:val="es-ES" w:eastAsia="en-US"/>
        </w:rPr>
        <w:t>s extranjer</w:t>
      </w:r>
      <w:r>
        <w:rPr>
          <w:rFonts w:ascii="Arial" w:eastAsia="Calibri" w:hAnsi="Arial" w:cs="Arial"/>
          <w:szCs w:val="22"/>
          <w:lang w:val="es-ES" w:eastAsia="en-US"/>
        </w:rPr>
        <w:t>a</w:t>
      </w:r>
      <w:r w:rsidRPr="00A14ACA">
        <w:rPr>
          <w:rFonts w:ascii="Arial" w:eastAsia="Calibri" w:hAnsi="Arial" w:cs="Arial"/>
          <w:szCs w:val="22"/>
          <w:lang w:val="es-ES" w:eastAsia="en-US"/>
        </w:rPr>
        <w:t xml:space="preserve">s desplazados durante el desarrollo de toda la campaña agrícola. </w:t>
      </w:r>
    </w:p>
    <w:p w14:paraId="544CF7BF" w14:textId="77777777" w:rsidR="003E59B7" w:rsidRPr="00A14ACA" w:rsidRDefault="003E59B7" w:rsidP="003E59B7">
      <w:pPr>
        <w:spacing w:after="120" w:line="276" w:lineRule="auto"/>
        <w:ind w:left="567"/>
        <w:jc w:val="both"/>
        <w:rPr>
          <w:rFonts w:ascii="Arial" w:hAnsi="Arial" w:cs="Arial"/>
          <w:b/>
          <w:i/>
          <w:szCs w:val="22"/>
          <w:lang w:val="es-ES"/>
        </w:rPr>
      </w:pPr>
      <w:bookmarkStart w:id="1" w:name="_Hlk14691172"/>
      <w:r w:rsidRPr="00A14ACA">
        <w:rPr>
          <w:rFonts w:ascii="Arial" w:hAnsi="Arial" w:cs="Arial"/>
          <w:b/>
          <w:i/>
          <w:szCs w:val="22"/>
          <w:lang w:val="es-ES"/>
        </w:rPr>
        <w:t xml:space="preserve">2.2. Resultado </w:t>
      </w:r>
      <w:r>
        <w:rPr>
          <w:rFonts w:ascii="Arial" w:hAnsi="Arial" w:cs="Arial"/>
          <w:b/>
          <w:i/>
          <w:szCs w:val="22"/>
          <w:lang w:val="es-ES"/>
        </w:rPr>
        <w:t>s</w:t>
      </w:r>
      <w:r w:rsidRPr="00A14ACA">
        <w:rPr>
          <w:rFonts w:ascii="Arial" w:hAnsi="Arial" w:cs="Arial"/>
          <w:b/>
          <w:i/>
          <w:szCs w:val="22"/>
          <w:lang w:val="es-ES"/>
        </w:rPr>
        <w:t xml:space="preserve">ociolaboral </w:t>
      </w:r>
      <w:r>
        <w:rPr>
          <w:rFonts w:ascii="Arial" w:hAnsi="Arial" w:cs="Arial"/>
          <w:b/>
          <w:i/>
          <w:szCs w:val="22"/>
          <w:lang w:val="es-ES"/>
        </w:rPr>
        <w:t>p</w:t>
      </w:r>
      <w:r w:rsidRPr="00A14ACA">
        <w:rPr>
          <w:rFonts w:ascii="Arial" w:hAnsi="Arial" w:cs="Arial"/>
          <w:b/>
          <w:i/>
          <w:szCs w:val="22"/>
          <w:lang w:val="es-ES"/>
        </w:rPr>
        <w:t>ositivo.</w:t>
      </w:r>
    </w:p>
    <w:bookmarkEnd w:id="1"/>
    <w:p w14:paraId="27C94456" w14:textId="1F902CC4" w:rsidR="003E59B7" w:rsidRPr="00A14ACA" w:rsidRDefault="003E59B7" w:rsidP="003E59B7">
      <w:pPr>
        <w:spacing w:line="276" w:lineRule="auto"/>
        <w:ind w:left="567"/>
        <w:jc w:val="both"/>
        <w:rPr>
          <w:rFonts w:ascii="Arial" w:hAnsi="Arial" w:cs="Arial"/>
          <w:szCs w:val="22"/>
          <w:lang w:val="es-ES"/>
        </w:rPr>
      </w:pPr>
      <w:r w:rsidRPr="00A14ACA">
        <w:rPr>
          <w:rFonts w:ascii="Arial" w:hAnsi="Arial" w:cs="Arial"/>
          <w:szCs w:val="22"/>
          <w:lang w:val="es-ES"/>
        </w:rPr>
        <w:t xml:space="preserve">La contratación colectiva en origen este año ha supuesto </w:t>
      </w:r>
      <w:r>
        <w:rPr>
          <w:rFonts w:ascii="Arial" w:hAnsi="Arial" w:cs="Arial"/>
          <w:szCs w:val="22"/>
          <w:lang w:val="es-ES"/>
        </w:rPr>
        <w:t xml:space="preserve">la resolución de </w:t>
      </w:r>
      <w:r w:rsidRPr="00B04E15">
        <w:rPr>
          <w:rFonts w:ascii="Arial" w:hAnsi="Arial" w:cs="Arial"/>
          <w:b/>
          <w:szCs w:val="22"/>
          <w:lang w:val="es-ES"/>
        </w:rPr>
        <w:t>16.391 autorizaciones favorables</w:t>
      </w:r>
      <w:r>
        <w:rPr>
          <w:rFonts w:ascii="Arial" w:hAnsi="Arial" w:cs="Arial"/>
          <w:szCs w:val="22"/>
          <w:lang w:val="es-ES"/>
        </w:rPr>
        <w:t xml:space="preserve">. De ellas, 1.980 trabajadoras desistieron antes del viaje, lo que supuso un </w:t>
      </w:r>
      <w:r w:rsidRPr="00B04E15">
        <w:rPr>
          <w:rFonts w:ascii="Arial" w:hAnsi="Arial" w:cs="Arial"/>
          <w:b/>
          <w:szCs w:val="22"/>
          <w:lang w:val="es-ES"/>
        </w:rPr>
        <w:t>desplazamiento final de 14.411 trabajadoras</w:t>
      </w:r>
      <w:r>
        <w:rPr>
          <w:rFonts w:ascii="Arial" w:hAnsi="Arial" w:cs="Arial"/>
          <w:szCs w:val="22"/>
          <w:lang w:val="es-ES"/>
        </w:rPr>
        <w:t xml:space="preserve"> </w:t>
      </w:r>
      <w:r w:rsidRPr="00A14ACA">
        <w:rPr>
          <w:rFonts w:ascii="Arial" w:hAnsi="Arial" w:cs="Arial"/>
          <w:szCs w:val="22"/>
          <w:lang w:val="es-ES"/>
        </w:rPr>
        <w:t>a la provincia de Huelva desde Marruecos</w:t>
      </w:r>
      <w:r>
        <w:rPr>
          <w:rFonts w:ascii="Arial" w:hAnsi="Arial" w:cs="Arial"/>
          <w:szCs w:val="22"/>
          <w:lang w:val="es-ES"/>
        </w:rPr>
        <w:t>. Han</w:t>
      </w:r>
      <w:r w:rsidRPr="00A14ACA">
        <w:rPr>
          <w:rFonts w:ascii="Arial" w:hAnsi="Arial" w:cs="Arial"/>
          <w:szCs w:val="22"/>
          <w:lang w:val="es-ES"/>
        </w:rPr>
        <w:t xml:space="preserve"> </w:t>
      </w:r>
      <w:r>
        <w:rPr>
          <w:rFonts w:ascii="Arial" w:hAnsi="Arial" w:cs="Arial"/>
          <w:szCs w:val="22"/>
          <w:lang w:val="es-ES"/>
        </w:rPr>
        <w:t>participado</w:t>
      </w:r>
      <w:r w:rsidRPr="00A14ACA">
        <w:rPr>
          <w:rFonts w:ascii="Arial" w:hAnsi="Arial" w:cs="Arial"/>
          <w:szCs w:val="22"/>
          <w:lang w:val="es-ES"/>
        </w:rPr>
        <w:t xml:space="preserve"> 559 empresas que presentaron 1.490 ofertas de gestión. </w:t>
      </w:r>
    </w:p>
    <w:p w14:paraId="561D37B0" w14:textId="77777777" w:rsidR="003E59B7" w:rsidRDefault="003E59B7" w:rsidP="002F5752">
      <w:pPr>
        <w:spacing w:line="276" w:lineRule="auto"/>
        <w:jc w:val="both"/>
        <w:rPr>
          <w:rFonts w:ascii="Arial" w:hAnsi="Arial" w:cs="Arial"/>
          <w:szCs w:val="22"/>
          <w:lang w:val="es-ES"/>
        </w:rPr>
      </w:pPr>
    </w:p>
    <w:p w14:paraId="3F0609DB" w14:textId="77777777" w:rsidR="003E59B7" w:rsidRPr="00A14ACA" w:rsidRDefault="003E59B7" w:rsidP="003E59B7">
      <w:pPr>
        <w:spacing w:line="276" w:lineRule="auto"/>
        <w:ind w:left="567"/>
        <w:jc w:val="both"/>
        <w:rPr>
          <w:rFonts w:ascii="Arial" w:hAnsi="Arial" w:cs="Arial"/>
          <w:szCs w:val="22"/>
          <w:lang w:val="es-ES"/>
        </w:rPr>
      </w:pPr>
      <w:r>
        <w:rPr>
          <w:rFonts w:ascii="Arial" w:hAnsi="Arial" w:cs="Arial"/>
          <w:szCs w:val="22"/>
          <w:lang w:val="es-ES"/>
        </w:rPr>
        <w:t>Cabe destacar que se ha procurado la</w:t>
      </w:r>
      <w:r w:rsidRPr="00A14ACA">
        <w:rPr>
          <w:rFonts w:ascii="Arial" w:hAnsi="Arial" w:cs="Arial"/>
          <w:szCs w:val="22"/>
          <w:lang w:val="es-ES"/>
        </w:rPr>
        <w:t xml:space="preserve"> intensificación de la información en destino a las trabajadoras desplazadas, labor desarrollada además de por los propios empresarios por la figura de los mediadores de la Junta de Andalucía y aquellos contratados en el marco del PRELSI</w:t>
      </w:r>
      <w:r>
        <w:rPr>
          <w:rFonts w:ascii="Arial" w:hAnsi="Arial" w:cs="Arial"/>
          <w:szCs w:val="22"/>
          <w:lang w:val="es-ES"/>
        </w:rPr>
        <w:t xml:space="preserve"> -</w:t>
      </w:r>
      <w:r w:rsidRPr="00A14ACA">
        <w:rPr>
          <w:rFonts w:ascii="Arial" w:hAnsi="Arial" w:cs="Arial"/>
          <w:szCs w:val="22"/>
          <w:lang w:val="es-ES"/>
        </w:rPr>
        <w:t xml:space="preserve"> Plan de Responsabilidad Ética, Laboral y Social para el sector fresero adoptado por INTERFRESA, </w:t>
      </w:r>
      <w:hyperlink r:id="rId8" w:history="1">
        <w:r w:rsidRPr="00A14ACA">
          <w:rPr>
            <w:rFonts w:ascii="Arial" w:hAnsi="Arial" w:cs="Arial"/>
            <w:color w:val="0563C1" w:themeColor="hyperlink"/>
            <w:szCs w:val="22"/>
            <w:u w:val="single"/>
            <w:lang w:val="es-ES"/>
          </w:rPr>
          <w:t>https://interfresa.com/prelsi/</w:t>
        </w:r>
      </w:hyperlink>
      <w:r>
        <w:rPr>
          <w:rFonts w:ascii="Arial" w:hAnsi="Arial" w:cs="Arial"/>
          <w:szCs w:val="22"/>
          <w:lang w:val="es-ES"/>
        </w:rPr>
        <w:t>-</w:t>
      </w:r>
      <w:r w:rsidRPr="00A14ACA">
        <w:rPr>
          <w:rFonts w:ascii="Arial" w:hAnsi="Arial" w:cs="Arial"/>
          <w:szCs w:val="22"/>
          <w:lang w:val="es-ES"/>
        </w:rPr>
        <w:t xml:space="preserve"> que establece un protocolo voluntario de igualdad y prevención de cualquier caso de acoso o trato indebido, reforzando la formación de los mandos intermedios y creando la figura de</w:t>
      </w:r>
      <w:r>
        <w:rPr>
          <w:rFonts w:ascii="Arial" w:hAnsi="Arial" w:cs="Arial"/>
          <w:szCs w:val="22"/>
          <w:lang w:val="es-ES"/>
        </w:rPr>
        <w:t>l</w:t>
      </w:r>
      <w:r w:rsidRPr="00A14ACA">
        <w:rPr>
          <w:rFonts w:ascii="Arial" w:hAnsi="Arial" w:cs="Arial"/>
          <w:szCs w:val="22"/>
          <w:lang w:val="es-ES"/>
        </w:rPr>
        <w:t xml:space="preserve"> “consultor de integración”, lo que ha permitido diversas actuaciones de acompañamiento y asesoramiento a las </w:t>
      </w:r>
      <w:r w:rsidRPr="00500A1E">
        <w:rPr>
          <w:rFonts w:ascii="Arial" w:hAnsi="Arial" w:cs="Arial"/>
          <w:szCs w:val="22"/>
          <w:lang w:val="es-ES"/>
        </w:rPr>
        <w:t>trabajadoras</w:t>
      </w:r>
      <w:r w:rsidRPr="00A14ACA">
        <w:rPr>
          <w:rFonts w:ascii="Arial" w:hAnsi="Arial" w:cs="Arial"/>
          <w:szCs w:val="22"/>
          <w:lang w:val="es-ES"/>
        </w:rPr>
        <w:t>, mejorando las relaciones laborales y de convivencia durante su estancia.</w:t>
      </w:r>
    </w:p>
    <w:p w14:paraId="65B4F365" w14:textId="77777777" w:rsidR="003E59B7" w:rsidRPr="00A14ACA" w:rsidRDefault="003E59B7" w:rsidP="003E59B7">
      <w:pPr>
        <w:spacing w:line="276" w:lineRule="auto"/>
        <w:ind w:left="567"/>
        <w:jc w:val="both"/>
        <w:rPr>
          <w:rFonts w:ascii="Arial" w:hAnsi="Arial" w:cs="Arial"/>
          <w:szCs w:val="22"/>
          <w:lang w:val="es-ES"/>
        </w:rPr>
      </w:pPr>
    </w:p>
    <w:p w14:paraId="69EA5C8E" w14:textId="79120B87" w:rsidR="003E59B7" w:rsidRPr="00A14ACA" w:rsidRDefault="003E59B7" w:rsidP="003E59B7">
      <w:pPr>
        <w:spacing w:line="276" w:lineRule="auto"/>
        <w:ind w:left="567"/>
        <w:jc w:val="both"/>
        <w:rPr>
          <w:rFonts w:ascii="Arial" w:hAnsi="Arial" w:cs="Arial"/>
          <w:szCs w:val="22"/>
          <w:lang w:val="es-ES"/>
        </w:rPr>
      </w:pPr>
      <w:r w:rsidRPr="00A14ACA">
        <w:rPr>
          <w:rFonts w:ascii="Arial" w:hAnsi="Arial" w:cs="Arial"/>
          <w:szCs w:val="22"/>
          <w:lang w:val="es-ES"/>
        </w:rPr>
        <w:t xml:space="preserve">La </w:t>
      </w:r>
      <w:bookmarkStart w:id="2" w:name="_Hlk16156991"/>
      <w:r w:rsidRPr="00A14ACA">
        <w:rPr>
          <w:rFonts w:ascii="Arial" w:hAnsi="Arial" w:cs="Arial"/>
          <w:szCs w:val="22"/>
          <w:lang w:val="es-ES"/>
        </w:rPr>
        <w:t xml:space="preserve">valoración sociolaboral positiva </w:t>
      </w:r>
      <w:bookmarkEnd w:id="2"/>
      <w:r w:rsidRPr="00A14ACA">
        <w:rPr>
          <w:rFonts w:ascii="Arial" w:hAnsi="Arial" w:cs="Arial"/>
          <w:szCs w:val="22"/>
          <w:lang w:val="es-ES"/>
        </w:rPr>
        <w:t xml:space="preserve">se ve sustentada asimismo por los informes y datos aportados por la Inspección de Trabajo y la TGSS y que se reproducen a continuación: </w:t>
      </w:r>
    </w:p>
    <w:p w14:paraId="5EED9EE2" w14:textId="77777777" w:rsidR="003E59B7" w:rsidRPr="00A14ACA" w:rsidRDefault="003E59B7" w:rsidP="003E59B7">
      <w:pPr>
        <w:spacing w:line="276" w:lineRule="auto"/>
        <w:ind w:left="567"/>
        <w:jc w:val="both"/>
        <w:rPr>
          <w:rFonts w:ascii="Arial" w:hAnsi="Arial" w:cs="Arial"/>
          <w:szCs w:val="22"/>
          <w:lang w:val="es-ES"/>
        </w:rPr>
      </w:pPr>
    </w:p>
    <w:p w14:paraId="5CF52223" w14:textId="77777777" w:rsidR="003E59B7" w:rsidRPr="00A14ACA" w:rsidRDefault="003E59B7" w:rsidP="00720558">
      <w:pPr>
        <w:spacing w:after="160" w:line="276" w:lineRule="auto"/>
        <w:ind w:left="567"/>
        <w:contextualSpacing/>
        <w:jc w:val="both"/>
        <w:rPr>
          <w:rFonts w:ascii="Arial" w:eastAsia="Calibri" w:hAnsi="Arial" w:cs="Arial"/>
          <w:szCs w:val="22"/>
          <w:lang w:eastAsia="en-US"/>
        </w:rPr>
      </w:pPr>
      <w:r w:rsidRPr="00A14ACA">
        <w:rPr>
          <w:rFonts w:ascii="Arial" w:eastAsia="Calibri" w:hAnsi="Arial" w:cs="Arial"/>
          <w:b/>
          <w:szCs w:val="22"/>
          <w:lang w:val="es-ES" w:eastAsia="en-US"/>
        </w:rPr>
        <w:t>Inspección de trabajo (IT)</w:t>
      </w:r>
      <w:r w:rsidRPr="00A14ACA">
        <w:rPr>
          <w:rFonts w:ascii="Arial" w:eastAsia="Calibri" w:hAnsi="Arial" w:cs="Arial"/>
          <w:szCs w:val="22"/>
          <w:lang w:eastAsia="en-US"/>
        </w:rPr>
        <w:t xml:space="preserve">, este año 2019 se ha puesto un especial énfasis en la función de vigilancia y control del cumplimiento de la normativa del orden social, introduciéndose una serie de novedades, concretamente la adopción de un protocolo de actuación dirigido fundamentalmente a reforzar las funciones de control en aquellas empresas con trabajadores contratados en origen. Junto a </w:t>
      </w:r>
      <w:r w:rsidRPr="00A14ACA">
        <w:rPr>
          <w:rFonts w:ascii="Arial" w:eastAsia="Calibri" w:hAnsi="Arial" w:cs="Arial"/>
          <w:szCs w:val="22"/>
          <w:lang w:val="es-ES" w:eastAsia="en-US"/>
        </w:rPr>
        <w:t xml:space="preserve">las visitas planificadas dentro del protocolo, </w:t>
      </w:r>
      <w:r w:rsidRPr="00A14ACA">
        <w:rPr>
          <w:rFonts w:ascii="Arial" w:eastAsia="Calibri" w:hAnsi="Arial" w:cs="Arial"/>
          <w:szCs w:val="22"/>
          <w:lang w:val="es-ES" w:eastAsia="en-US"/>
        </w:rPr>
        <w:lastRenderedPageBreak/>
        <w:t>hay que adicionar todas aquellas que tienen un origen rogado (denuncias, petición de otros organismos o autoridad judicial…).</w:t>
      </w:r>
    </w:p>
    <w:p w14:paraId="432B70FB" w14:textId="77777777" w:rsidR="003E59B7" w:rsidRPr="00A14ACA" w:rsidRDefault="003E59B7" w:rsidP="003E59B7">
      <w:pPr>
        <w:tabs>
          <w:tab w:val="left" w:pos="-3969"/>
          <w:tab w:val="left" w:pos="0"/>
        </w:tabs>
        <w:spacing w:line="276" w:lineRule="auto"/>
        <w:ind w:left="567" w:hanging="11"/>
        <w:jc w:val="both"/>
        <w:rPr>
          <w:rFonts w:ascii="Arial" w:hAnsi="Arial" w:cs="Arial"/>
          <w:szCs w:val="22"/>
        </w:rPr>
      </w:pPr>
    </w:p>
    <w:p w14:paraId="749A25F9" w14:textId="77777777" w:rsidR="003E59B7" w:rsidRDefault="003E59B7" w:rsidP="00720558">
      <w:pPr>
        <w:spacing w:after="160" w:line="276" w:lineRule="auto"/>
        <w:ind w:left="567"/>
        <w:contextualSpacing/>
        <w:jc w:val="both"/>
        <w:rPr>
          <w:rFonts w:ascii="Arial" w:eastAsia="Calibri" w:hAnsi="Arial" w:cs="Arial"/>
          <w:szCs w:val="22"/>
          <w:lang w:val="es-ES" w:eastAsia="en-US"/>
        </w:rPr>
      </w:pPr>
      <w:r>
        <w:rPr>
          <w:rFonts w:ascii="Arial" w:eastAsia="Calibri" w:hAnsi="Arial" w:cs="Arial"/>
          <w:b/>
          <w:szCs w:val="22"/>
          <w:lang w:eastAsia="en-US"/>
        </w:rPr>
        <w:t xml:space="preserve">La </w:t>
      </w:r>
      <w:r w:rsidRPr="00A14ACA">
        <w:rPr>
          <w:rFonts w:ascii="Arial" w:eastAsia="Calibri" w:hAnsi="Arial" w:cs="Arial"/>
          <w:b/>
          <w:szCs w:val="22"/>
          <w:lang w:eastAsia="en-US"/>
        </w:rPr>
        <w:t>T</w:t>
      </w:r>
      <w:r w:rsidRPr="00A14ACA">
        <w:rPr>
          <w:rFonts w:ascii="Arial" w:eastAsia="Calibri" w:hAnsi="Arial" w:cs="Arial"/>
          <w:b/>
          <w:szCs w:val="22"/>
          <w:lang w:val="es-ES" w:eastAsia="en-US"/>
        </w:rPr>
        <w:t>esorería General de la Seguridad Social (TGSS)</w:t>
      </w:r>
      <w:r w:rsidRPr="00A14ACA">
        <w:rPr>
          <w:rFonts w:ascii="Arial" w:eastAsia="Calibri" w:hAnsi="Arial" w:cs="Arial"/>
          <w:szCs w:val="22"/>
          <w:lang w:val="es-ES" w:eastAsia="en-US"/>
        </w:rPr>
        <w:t xml:space="preserve"> proporciona los datos de afiliación y jornadas de trabajo en el régimen especial agrario cerrados a mes de mayo, cuyas altas cifras dan como resultado un reseñable incremento de la recaudación y permiten </w:t>
      </w:r>
      <w:r>
        <w:rPr>
          <w:rFonts w:ascii="Arial" w:eastAsia="Calibri" w:hAnsi="Arial" w:cs="Arial"/>
          <w:szCs w:val="22"/>
          <w:lang w:val="es-ES" w:eastAsia="en-US"/>
        </w:rPr>
        <w:t xml:space="preserve">reforzar la idea de </w:t>
      </w:r>
      <w:r w:rsidRPr="00A14ACA">
        <w:rPr>
          <w:rFonts w:ascii="Arial" w:eastAsia="Calibri" w:hAnsi="Arial" w:cs="Arial"/>
          <w:szCs w:val="22"/>
          <w:lang w:val="es-ES" w:eastAsia="en-US"/>
        </w:rPr>
        <w:t>que la campaña agrícola de temporada de la provincia de Huelva es un importante factor económico de desarrollo y de generación de empleo que se cubre por residentes y, en un menor porcentaje (15%) por mano de obra extranjera necesaria para cubrir la oferta.</w:t>
      </w:r>
    </w:p>
    <w:p w14:paraId="58AFA4A9" w14:textId="77777777" w:rsidR="003E59B7" w:rsidRPr="00DF70A8" w:rsidRDefault="003E59B7" w:rsidP="003E59B7">
      <w:pPr>
        <w:spacing w:after="160" w:line="276" w:lineRule="auto"/>
        <w:ind w:left="567"/>
        <w:contextualSpacing/>
        <w:jc w:val="both"/>
        <w:rPr>
          <w:rFonts w:ascii="Arial" w:eastAsia="Calibri" w:hAnsi="Arial" w:cs="Arial"/>
          <w:szCs w:val="22"/>
          <w:lang w:val="es-ES" w:eastAsia="en-US"/>
        </w:rPr>
      </w:pPr>
    </w:p>
    <w:p w14:paraId="4F724BE1" w14:textId="21C19CA2" w:rsidR="003E59B7" w:rsidRPr="00A14ACA" w:rsidRDefault="003E59B7" w:rsidP="00720558">
      <w:pPr>
        <w:spacing w:after="160" w:line="276" w:lineRule="auto"/>
        <w:ind w:left="567"/>
        <w:contextualSpacing/>
        <w:jc w:val="both"/>
        <w:rPr>
          <w:rFonts w:ascii="Arial" w:eastAsia="Calibri" w:hAnsi="Arial" w:cs="Arial"/>
          <w:szCs w:val="22"/>
          <w:lang w:val="es-ES" w:eastAsia="en-US"/>
        </w:rPr>
      </w:pPr>
      <w:r w:rsidRPr="00DF70A8">
        <w:rPr>
          <w:rFonts w:ascii="Arial" w:eastAsia="Calibri" w:hAnsi="Arial" w:cs="Arial"/>
          <w:szCs w:val="22"/>
          <w:lang w:val="es-ES" w:eastAsia="en-US"/>
        </w:rPr>
        <w:t>Estos datos son los siguientes:</w:t>
      </w:r>
    </w:p>
    <w:p w14:paraId="6ED5CD6E" w14:textId="77777777" w:rsidR="003E59B7" w:rsidRPr="00BD1642" w:rsidRDefault="003E59B7" w:rsidP="003E59B7">
      <w:pPr>
        <w:pStyle w:val="Prrafodelista"/>
        <w:numPr>
          <w:ilvl w:val="0"/>
          <w:numId w:val="10"/>
        </w:numPr>
        <w:spacing w:after="160" w:line="276" w:lineRule="auto"/>
        <w:contextualSpacing/>
        <w:jc w:val="both"/>
        <w:rPr>
          <w:rFonts w:ascii="Arial" w:eastAsia="Calibri" w:hAnsi="Arial" w:cs="Arial"/>
          <w:szCs w:val="22"/>
          <w:lang w:val="es-ES" w:eastAsia="en-US"/>
        </w:rPr>
      </w:pPr>
      <w:r w:rsidRPr="00BD1642">
        <w:rPr>
          <w:rFonts w:ascii="Arial" w:eastAsia="Calibri" w:hAnsi="Arial" w:cs="Arial"/>
          <w:szCs w:val="22"/>
          <w:lang w:val="es-ES" w:eastAsia="en-US"/>
        </w:rPr>
        <w:t>5 millones de jornadas declaradas.</w:t>
      </w:r>
    </w:p>
    <w:p w14:paraId="1B36D4DF" w14:textId="77777777" w:rsidR="003E59B7" w:rsidRPr="00BD1642" w:rsidRDefault="003E59B7" w:rsidP="003E59B7">
      <w:pPr>
        <w:pStyle w:val="Prrafodelista"/>
        <w:numPr>
          <w:ilvl w:val="0"/>
          <w:numId w:val="10"/>
        </w:numPr>
        <w:spacing w:after="160" w:line="276" w:lineRule="auto"/>
        <w:contextualSpacing/>
        <w:jc w:val="both"/>
        <w:rPr>
          <w:rFonts w:ascii="Arial" w:eastAsia="Calibri" w:hAnsi="Arial" w:cs="Arial"/>
          <w:szCs w:val="22"/>
          <w:lang w:val="es-ES" w:eastAsia="en-US"/>
        </w:rPr>
      </w:pPr>
      <w:r w:rsidRPr="00BD1642">
        <w:rPr>
          <w:rFonts w:ascii="Arial" w:eastAsia="Calibri" w:hAnsi="Arial" w:cs="Arial"/>
          <w:szCs w:val="22"/>
          <w:lang w:val="es-ES" w:eastAsia="en-US"/>
        </w:rPr>
        <w:t xml:space="preserve">La afiliación media en el mes de mayo, uno de los meses de máxima actividad, fue de 91.291 altas </w:t>
      </w:r>
      <w:bookmarkStart w:id="3" w:name="_Hlk14697157"/>
      <w:r w:rsidRPr="00BD1642">
        <w:rPr>
          <w:rFonts w:ascii="Arial" w:eastAsia="Calibri" w:hAnsi="Arial" w:cs="Arial"/>
          <w:szCs w:val="22"/>
          <w:lang w:val="es-ES" w:eastAsia="en-US"/>
        </w:rPr>
        <w:t xml:space="preserve">en el </w:t>
      </w:r>
      <w:r w:rsidRPr="00BD1642">
        <w:rPr>
          <w:rFonts w:ascii="Arial" w:eastAsia="Calibri" w:hAnsi="Arial" w:cs="Arial"/>
          <w:szCs w:val="22"/>
          <w:u w:val="single"/>
          <w:lang w:val="es-ES" w:eastAsia="en-US"/>
        </w:rPr>
        <w:t>régimen especial agrario</w:t>
      </w:r>
      <w:bookmarkEnd w:id="3"/>
      <w:r w:rsidRPr="00BD1642">
        <w:rPr>
          <w:rFonts w:ascii="Arial" w:eastAsia="Calibri" w:hAnsi="Arial" w:cs="Arial"/>
          <w:szCs w:val="22"/>
          <w:lang w:val="es-ES" w:eastAsia="en-US"/>
        </w:rPr>
        <w:t>, desagregándose por nacionalidades</w:t>
      </w:r>
      <w:r>
        <w:rPr>
          <w:rFonts w:ascii="Arial" w:eastAsia="Calibri" w:hAnsi="Arial" w:cs="Arial"/>
          <w:szCs w:val="22"/>
          <w:lang w:val="es-ES" w:eastAsia="en-US"/>
        </w:rPr>
        <w:t xml:space="preserve"> de la siguiente forma</w:t>
      </w:r>
      <w:r w:rsidRPr="00BD1642">
        <w:rPr>
          <w:rFonts w:ascii="Arial" w:eastAsia="Calibri" w:hAnsi="Arial" w:cs="Arial"/>
          <w:szCs w:val="22"/>
          <w:lang w:val="es-ES" w:eastAsia="en-US"/>
        </w:rPr>
        <w:t>:</w:t>
      </w:r>
    </w:p>
    <w:p w14:paraId="219135AC" w14:textId="77777777" w:rsidR="003E59B7" w:rsidRPr="00BD1642" w:rsidRDefault="003E59B7" w:rsidP="003E59B7">
      <w:pPr>
        <w:pStyle w:val="Prrafodelista"/>
        <w:numPr>
          <w:ilvl w:val="1"/>
          <w:numId w:val="10"/>
        </w:numPr>
        <w:spacing w:after="160" w:line="276" w:lineRule="auto"/>
        <w:contextualSpacing/>
        <w:jc w:val="both"/>
        <w:rPr>
          <w:rFonts w:ascii="Arial" w:eastAsia="Calibri" w:hAnsi="Arial" w:cs="Arial"/>
          <w:szCs w:val="22"/>
          <w:lang w:val="es-ES" w:eastAsia="en-US"/>
        </w:rPr>
      </w:pPr>
      <w:r w:rsidRPr="00BD1642">
        <w:rPr>
          <w:rFonts w:ascii="Arial" w:eastAsia="Calibri" w:hAnsi="Arial" w:cs="Arial"/>
          <w:szCs w:val="22"/>
          <w:lang w:val="es-ES" w:eastAsia="en-US"/>
        </w:rPr>
        <w:t>42.979 trabajadores españoles;</w:t>
      </w:r>
    </w:p>
    <w:p w14:paraId="5AC4C5F9" w14:textId="77777777" w:rsidR="003E59B7" w:rsidRPr="00BD1642" w:rsidRDefault="003E59B7" w:rsidP="003E59B7">
      <w:pPr>
        <w:pStyle w:val="Prrafodelista"/>
        <w:numPr>
          <w:ilvl w:val="1"/>
          <w:numId w:val="10"/>
        </w:numPr>
        <w:spacing w:after="160" w:line="276" w:lineRule="auto"/>
        <w:contextualSpacing/>
        <w:jc w:val="both"/>
        <w:rPr>
          <w:rFonts w:ascii="Arial" w:eastAsia="Calibri" w:hAnsi="Arial" w:cs="Arial"/>
          <w:szCs w:val="22"/>
          <w:lang w:val="es-ES" w:eastAsia="en-US"/>
        </w:rPr>
      </w:pPr>
      <w:r w:rsidRPr="00BD1642">
        <w:rPr>
          <w:rFonts w:ascii="Arial" w:eastAsia="Calibri" w:hAnsi="Arial" w:cs="Arial"/>
          <w:szCs w:val="22"/>
          <w:lang w:val="es-ES" w:eastAsia="en-US"/>
        </w:rPr>
        <w:t>21.894 comunitarios (rumanos y búlgaros principalmente);</w:t>
      </w:r>
    </w:p>
    <w:p w14:paraId="49EBCE07" w14:textId="77777777" w:rsidR="003E59B7" w:rsidRDefault="003E59B7" w:rsidP="003E59B7">
      <w:pPr>
        <w:pStyle w:val="Prrafodelista"/>
        <w:numPr>
          <w:ilvl w:val="1"/>
          <w:numId w:val="10"/>
        </w:numPr>
        <w:spacing w:after="160" w:line="276" w:lineRule="auto"/>
        <w:contextualSpacing/>
        <w:jc w:val="both"/>
        <w:rPr>
          <w:rFonts w:ascii="Arial" w:eastAsia="Calibri" w:hAnsi="Arial" w:cs="Arial"/>
          <w:szCs w:val="22"/>
          <w:lang w:val="es-ES" w:eastAsia="en-US"/>
        </w:rPr>
      </w:pPr>
      <w:r w:rsidRPr="00BD1642">
        <w:rPr>
          <w:rFonts w:ascii="Arial" w:eastAsia="Calibri" w:hAnsi="Arial" w:cs="Arial"/>
          <w:szCs w:val="22"/>
          <w:lang w:val="es-ES" w:eastAsia="en-US"/>
        </w:rPr>
        <w:t xml:space="preserve">26.418 extracomunitarios: 20.686 procedentes de Marruecos. </w:t>
      </w:r>
    </w:p>
    <w:p w14:paraId="764BC3F2" w14:textId="77777777" w:rsidR="003E59B7" w:rsidRDefault="003E59B7" w:rsidP="003E59B7">
      <w:pPr>
        <w:spacing w:after="160" w:line="276" w:lineRule="auto"/>
        <w:contextualSpacing/>
        <w:jc w:val="both"/>
        <w:rPr>
          <w:rFonts w:ascii="Arial" w:eastAsia="Calibri" w:hAnsi="Arial" w:cs="Arial"/>
          <w:szCs w:val="22"/>
          <w:lang w:val="es-ES" w:eastAsia="en-US"/>
        </w:rPr>
      </w:pPr>
    </w:p>
    <w:p w14:paraId="7AB8FDDC" w14:textId="77777777" w:rsidR="003E59B7" w:rsidRPr="00C23290" w:rsidRDefault="003E59B7" w:rsidP="003E59B7">
      <w:pPr>
        <w:spacing w:after="160" w:line="276" w:lineRule="auto"/>
        <w:contextualSpacing/>
        <w:jc w:val="both"/>
        <w:rPr>
          <w:rFonts w:ascii="Arial" w:eastAsia="Calibri" w:hAnsi="Arial" w:cs="Arial"/>
          <w:szCs w:val="22"/>
          <w:lang w:val="es-ES" w:eastAsia="en-US"/>
        </w:rPr>
      </w:pPr>
    </w:p>
    <w:p w14:paraId="25EFEADE" w14:textId="77777777" w:rsidR="003E59B7" w:rsidRDefault="003E59B7" w:rsidP="003E59B7">
      <w:pPr>
        <w:spacing w:line="276" w:lineRule="auto"/>
        <w:ind w:left="567"/>
        <w:jc w:val="both"/>
      </w:pPr>
    </w:p>
    <w:tbl>
      <w:tblPr>
        <w:tblW w:w="10900" w:type="dxa"/>
        <w:tblCellMar>
          <w:left w:w="70" w:type="dxa"/>
          <w:right w:w="70" w:type="dxa"/>
        </w:tblCellMar>
        <w:tblLook w:val="04A0" w:firstRow="1" w:lastRow="0" w:firstColumn="1" w:lastColumn="0" w:noHBand="0" w:noVBand="1"/>
      </w:tblPr>
      <w:tblGrid>
        <w:gridCol w:w="1888"/>
        <w:gridCol w:w="944"/>
        <w:gridCol w:w="702"/>
        <w:gridCol w:w="2820"/>
        <w:gridCol w:w="1208"/>
        <w:gridCol w:w="1208"/>
        <w:gridCol w:w="828"/>
        <w:gridCol w:w="168"/>
        <w:gridCol w:w="1208"/>
      </w:tblGrid>
      <w:tr w:rsidR="003E59B7" w:rsidRPr="005A071F" w14:paraId="4332216F" w14:textId="77777777" w:rsidTr="00F35BF2">
        <w:trPr>
          <w:trHeight w:val="795"/>
        </w:trPr>
        <w:tc>
          <w:tcPr>
            <w:tcW w:w="3534" w:type="dxa"/>
            <w:gridSpan w:val="3"/>
            <w:tcBorders>
              <w:top w:val="single" w:sz="8" w:space="0" w:color="auto"/>
              <w:left w:val="single" w:sz="8" w:space="0" w:color="auto"/>
              <w:bottom w:val="single" w:sz="4" w:space="0" w:color="auto"/>
              <w:right w:val="single" w:sz="8" w:space="0" w:color="000000"/>
            </w:tcBorders>
            <w:shd w:val="clear" w:color="000000" w:fill="92D050"/>
            <w:vAlign w:val="bottom"/>
            <w:hideMark/>
          </w:tcPr>
          <w:p w14:paraId="00120990" w14:textId="77777777" w:rsidR="003E59B7" w:rsidRPr="005A071F" w:rsidRDefault="003E59B7" w:rsidP="00F35BF2">
            <w:pPr>
              <w:jc w:val="center"/>
              <w:rPr>
                <w:rFonts w:ascii="Arial" w:hAnsi="Arial" w:cs="Arial"/>
                <w:b/>
                <w:bCs/>
                <w:sz w:val="24"/>
                <w:szCs w:val="24"/>
                <w:lang w:val="es-ES"/>
              </w:rPr>
            </w:pPr>
            <w:r w:rsidRPr="005A071F">
              <w:rPr>
                <w:rFonts w:ascii="Arial" w:hAnsi="Arial" w:cs="Arial"/>
                <w:b/>
                <w:bCs/>
                <w:sz w:val="24"/>
                <w:szCs w:val="24"/>
                <w:lang w:val="es-ES"/>
              </w:rPr>
              <w:t>Afiliación régimen agrario (Total)</w:t>
            </w:r>
          </w:p>
        </w:tc>
        <w:tc>
          <w:tcPr>
            <w:tcW w:w="2746" w:type="dxa"/>
            <w:tcBorders>
              <w:top w:val="nil"/>
              <w:left w:val="nil"/>
              <w:bottom w:val="nil"/>
              <w:right w:val="nil"/>
            </w:tcBorders>
            <w:shd w:val="clear" w:color="auto" w:fill="auto"/>
            <w:noWrap/>
            <w:vAlign w:val="bottom"/>
            <w:hideMark/>
          </w:tcPr>
          <w:p w14:paraId="4F0594A8" w14:textId="77777777" w:rsidR="003E59B7" w:rsidRPr="005A071F" w:rsidRDefault="003E59B7" w:rsidP="00F35BF2">
            <w:pPr>
              <w:rPr>
                <w:rFonts w:ascii="Arial" w:hAnsi="Arial" w:cs="Arial"/>
                <w:color w:val="000000"/>
                <w:szCs w:val="22"/>
                <w:lang w:val="es-ES"/>
              </w:rPr>
            </w:pPr>
            <w:r w:rsidRPr="005A071F">
              <w:rPr>
                <w:rFonts w:ascii="Arial" w:hAnsi="Arial" w:cs="Arial"/>
                <w:noProof/>
                <w:color w:val="000000"/>
                <w:szCs w:val="22"/>
                <w:lang w:val="es-ES"/>
              </w:rPr>
              <w:drawing>
                <wp:anchor distT="0" distB="0" distL="114300" distR="114300" simplePos="0" relativeHeight="251661312" behindDoc="0" locked="0" layoutInCell="1" allowOverlap="1" wp14:anchorId="4194C9C5" wp14:editId="040D520D">
                  <wp:simplePos x="0" y="0"/>
                  <wp:positionH relativeFrom="column">
                    <wp:posOffset>559435</wp:posOffset>
                  </wp:positionH>
                  <wp:positionV relativeFrom="paragraph">
                    <wp:posOffset>-32385</wp:posOffset>
                  </wp:positionV>
                  <wp:extent cx="3190875" cy="2276475"/>
                  <wp:effectExtent l="0" t="0" r="9525" b="9525"/>
                  <wp:wrapNone/>
                  <wp:docPr id="31" name="Gráfico 31">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680"/>
            </w:tblGrid>
            <w:tr w:rsidR="003E59B7" w:rsidRPr="005A071F" w14:paraId="31B8B5A2" w14:textId="77777777" w:rsidTr="00F35BF2">
              <w:trPr>
                <w:trHeight w:val="795"/>
                <w:tblCellSpacing w:w="0" w:type="dxa"/>
              </w:trPr>
              <w:tc>
                <w:tcPr>
                  <w:tcW w:w="2680" w:type="dxa"/>
                  <w:tcBorders>
                    <w:top w:val="nil"/>
                    <w:left w:val="nil"/>
                    <w:bottom w:val="nil"/>
                    <w:right w:val="nil"/>
                  </w:tcBorders>
                  <w:shd w:val="clear" w:color="auto" w:fill="auto"/>
                  <w:noWrap/>
                  <w:vAlign w:val="bottom"/>
                  <w:hideMark/>
                </w:tcPr>
                <w:p w14:paraId="2424C57B" w14:textId="77777777" w:rsidR="003E59B7" w:rsidRPr="005A071F" w:rsidRDefault="003E59B7" w:rsidP="00F35BF2">
                  <w:pPr>
                    <w:rPr>
                      <w:rFonts w:ascii="Arial" w:hAnsi="Arial" w:cs="Arial"/>
                      <w:color w:val="000000"/>
                      <w:szCs w:val="22"/>
                      <w:lang w:val="es-ES"/>
                    </w:rPr>
                  </w:pPr>
                </w:p>
              </w:tc>
            </w:tr>
          </w:tbl>
          <w:p w14:paraId="161CD94D" w14:textId="77777777" w:rsidR="003E59B7" w:rsidRPr="005A071F" w:rsidRDefault="003E59B7" w:rsidP="00F35BF2">
            <w:pPr>
              <w:rPr>
                <w:rFonts w:ascii="Arial" w:hAnsi="Arial" w:cs="Arial"/>
                <w:color w:val="000000"/>
                <w:szCs w:val="22"/>
                <w:lang w:val="es-ES"/>
              </w:rPr>
            </w:pPr>
            <w:r w:rsidRPr="005A071F">
              <w:rPr>
                <w:rFonts w:ascii="Arial" w:hAnsi="Arial" w:cs="Arial"/>
                <w:noProof/>
                <w:color w:val="000000"/>
                <w:szCs w:val="22"/>
                <w:lang w:val="es-ES"/>
              </w:rPr>
              <mc:AlternateContent>
                <mc:Choice Requires="wps">
                  <w:drawing>
                    <wp:anchor distT="0" distB="0" distL="114300" distR="114300" simplePos="0" relativeHeight="251662336" behindDoc="0" locked="0" layoutInCell="1" allowOverlap="1" wp14:anchorId="0E117B24" wp14:editId="4FADD351">
                      <wp:simplePos x="0" y="0"/>
                      <wp:positionH relativeFrom="column">
                        <wp:posOffset>3112135</wp:posOffset>
                      </wp:positionH>
                      <wp:positionV relativeFrom="paragraph">
                        <wp:posOffset>1350010</wp:posOffset>
                      </wp:positionV>
                      <wp:extent cx="828040" cy="209550"/>
                      <wp:effectExtent l="0" t="0" r="0" b="0"/>
                      <wp:wrapNone/>
                      <wp:docPr id="30" name="Cuadro de texto 30">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microsoft.com/office/word/2010/wordprocessingShape">
                          <wps:wsp>
                            <wps:cNvSpPr txBox="1"/>
                            <wps:spPr>
                              <a:xfrm flipH="1">
                                <a:off x="0" y="0"/>
                                <a:ext cx="828040" cy="20955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5A573A8" w14:textId="77777777" w:rsidR="003E59B7" w:rsidRDefault="003E59B7" w:rsidP="003E59B7">
                                  <w:pPr>
                                    <w:rPr>
                                      <w:sz w:val="24"/>
                                      <w:szCs w:val="24"/>
                                    </w:rPr>
                                  </w:pPr>
                                  <w:r>
                                    <w:rPr>
                                      <w:rFonts w:asciiTheme="minorHAnsi" w:hAnsi="Calibri" w:cstheme="minorBidi"/>
                                      <w:b/>
                                      <w:bCs/>
                                      <w:color w:val="000000" w:themeColor="text1"/>
                                      <w:sz w:val="18"/>
                                      <w:szCs w:val="18"/>
                                    </w:rPr>
                                    <w:t>Mayo 2019</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0E117B24" id="_x0000_t202" coordsize="21600,21600" o:spt="202" path="m,l,21600r21600,l21600,xe">
                      <v:stroke joinstyle="miter"/>
                      <v:path gradientshapeok="t" o:connecttype="rect"/>
                    </v:shapetype>
                    <v:shape id="Cuadro de texto 30" o:spid="_x0000_s1026" type="#_x0000_t202" style="position:absolute;margin-left:245.05pt;margin-top:106.3pt;width:65.2pt;height:16.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" filled="f" stroked="f">
                      <v:textbox>
                        <w:txbxContent>
                          <w:p w14:paraId="75A573A8" w14:textId="77777777" w:rsidR="003E59B7" w:rsidRDefault="003E59B7" w:rsidP="003E59B7">
                            <w:pPr>
                              <w:rPr>
                                <w:sz w:val="24"/>
                                <w:szCs w:val="24"/>
                              </w:rPr>
                            </w:pPr>
                            <w:r>
                              <w:rPr>
                                <w:rFonts w:asciiTheme="minorHAnsi" w:hAnsi="Calibri" w:cstheme="minorBidi"/>
                                <w:b/>
                                <w:bCs/>
                                <w:color w:val="000000" w:themeColor="text1"/>
                                <w:sz w:val="18"/>
                                <w:szCs w:val="18"/>
                              </w:rPr>
                              <w:t>Mayo 2019</w:t>
                            </w:r>
                          </w:p>
                        </w:txbxContent>
                      </v:textbox>
                    </v:shape>
                  </w:pict>
                </mc:Fallback>
              </mc:AlternateContent>
            </w:r>
          </w:p>
        </w:tc>
        <w:tc>
          <w:tcPr>
            <w:tcW w:w="1208" w:type="dxa"/>
            <w:tcBorders>
              <w:top w:val="nil"/>
              <w:left w:val="nil"/>
              <w:bottom w:val="nil"/>
              <w:right w:val="nil"/>
            </w:tcBorders>
            <w:shd w:val="clear" w:color="auto" w:fill="auto"/>
            <w:noWrap/>
            <w:vAlign w:val="bottom"/>
            <w:hideMark/>
          </w:tcPr>
          <w:p w14:paraId="6BC92374" w14:textId="77777777" w:rsidR="003E59B7" w:rsidRPr="005A071F" w:rsidRDefault="003E59B7" w:rsidP="00F35BF2">
            <w:pPr>
              <w:rPr>
                <w:rFonts w:ascii="Arial" w:hAnsi="Arial" w:cs="Arial"/>
                <w:sz w:val="20"/>
                <w:lang w:val="es-ES"/>
              </w:rPr>
            </w:pPr>
          </w:p>
        </w:tc>
        <w:tc>
          <w:tcPr>
            <w:tcW w:w="1208" w:type="dxa"/>
            <w:tcBorders>
              <w:top w:val="nil"/>
              <w:left w:val="nil"/>
              <w:bottom w:val="nil"/>
              <w:right w:val="nil"/>
            </w:tcBorders>
            <w:shd w:val="clear" w:color="auto" w:fill="auto"/>
            <w:noWrap/>
            <w:vAlign w:val="bottom"/>
            <w:hideMark/>
          </w:tcPr>
          <w:p w14:paraId="1E621A18" w14:textId="77777777" w:rsidR="003E59B7" w:rsidRPr="005A071F" w:rsidRDefault="003E59B7" w:rsidP="00F35BF2">
            <w:pPr>
              <w:rPr>
                <w:rFonts w:ascii="Arial" w:hAnsi="Arial" w:cs="Arial"/>
                <w:sz w:val="20"/>
                <w:lang w:val="es-ES"/>
              </w:rPr>
            </w:pPr>
          </w:p>
        </w:tc>
        <w:tc>
          <w:tcPr>
            <w:tcW w:w="828" w:type="dxa"/>
            <w:tcBorders>
              <w:top w:val="nil"/>
              <w:left w:val="nil"/>
              <w:bottom w:val="nil"/>
              <w:right w:val="nil"/>
            </w:tcBorders>
            <w:shd w:val="clear" w:color="auto" w:fill="auto"/>
            <w:noWrap/>
            <w:vAlign w:val="bottom"/>
            <w:hideMark/>
          </w:tcPr>
          <w:p w14:paraId="348FD56C" w14:textId="77777777" w:rsidR="003E59B7" w:rsidRPr="005A071F" w:rsidRDefault="003E59B7" w:rsidP="00F35BF2">
            <w:pPr>
              <w:rPr>
                <w:rFonts w:ascii="Arial" w:hAnsi="Arial" w:cs="Arial"/>
                <w:sz w:val="20"/>
                <w:lang w:val="es-ES"/>
              </w:rPr>
            </w:pPr>
          </w:p>
        </w:tc>
        <w:tc>
          <w:tcPr>
            <w:tcW w:w="168" w:type="dxa"/>
            <w:tcBorders>
              <w:top w:val="nil"/>
              <w:left w:val="nil"/>
              <w:bottom w:val="nil"/>
              <w:right w:val="nil"/>
            </w:tcBorders>
            <w:shd w:val="clear" w:color="auto" w:fill="auto"/>
            <w:noWrap/>
            <w:vAlign w:val="bottom"/>
            <w:hideMark/>
          </w:tcPr>
          <w:p w14:paraId="0CFB6DC0" w14:textId="77777777" w:rsidR="003E59B7" w:rsidRPr="005A071F" w:rsidRDefault="003E59B7" w:rsidP="00F35BF2">
            <w:pPr>
              <w:rPr>
                <w:rFonts w:ascii="Arial" w:hAnsi="Arial" w:cs="Arial"/>
                <w:sz w:val="20"/>
                <w:lang w:val="es-ES"/>
              </w:rPr>
            </w:pPr>
          </w:p>
        </w:tc>
        <w:tc>
          <w:tcPr>
            <w:tcW w:w="1208" w:type="dxa"/>
            <w:tcBorders>
              <w:top w:val="nil"/>
              <w:left w:val="nil"/>
              <w:bottom w:val="nil"/>
              <w:right w:val="nil"/>
            </w:tcBorders>
            <w:shd w:val="clear" w:color="auto" w:fill="auto"/>
            <w:noWrap/>
            <w:vAlign w:val="bottom"/>
            <w:hideMark/>
          </w:tcPr>
          <w:p w14:paraId="24AE063D" w14:textId="77777777" w:rsidR="003E59B7" w:rsidRPr="005A071F" w:rsidRDefault="003E59B7" w:rsidP="00F35BF2">
            <w:pPr>
              <w:rPr>
                <w:rFonts w:ascii="Arial" w:hAnsi="Arial" w:cs="Arial"/>
                <w:sz w:val="20"/>
                <w:lang w:val="es-ES"/>
              </w:rPr>
            </w:pPr>
          </w:p>
        </w:tc>
      </w:tr>
      <w:tr w:rsidR="003E59B7" w:rsidRPr="005A071F" w14:paraId="14B35C70" w14:textId="77777777" w:rsidTr="00F35BF2">
        <w:trPr>
          <w:trHeight w:val="656"/>
        </w:trPr>
        <w:tc>
          <w:tcPr>
            <w:tcW w:w="1888" w:type="dxa"/>
            <w:tcBorders>
              <w:top w:val="nil"/>
              <w:left w:val="single" w:sz="8" w:space="0" w:color="auto"/>
              <w:bottom w:val="single" w:sz="4" w:space="0" w:color="auto"/>
              <w:right w:val="single" w:sz="4" w:space="0" w:color="auto"/>
            </w:tcBorders>
            <w:shd w:val="clear" w:color="auto" w:fill="auto"/>
            <w:vAlign w:val="bottom"/>
            <w:hideMark/>
          </w:tcPr>
          <w:p w14:paraId="75397FE7" w14:textId="77777777" w:rsidR="003E59B7" w:rsidRPr="005A071F" w:rsidRDefault="003E59B7" w:rsidP="00F35BF2">
            <w:pPr>
              <w:rPr>
                <w:rFonts w:ascii="Arial" w:hAnsi="Arial" w:cs="Arial"/>
                <w:b/>
                <w:bCs/>
                <w:color w:val="000000"/>
                <w:szCs w:val="22"/>
                <w:lang w:val="es-ES"/>
              </w:rPr>
            </w:pPr>
            <w:r w:rsidRPr="005A071F">
              <w:rPr>
                <w:rFonts w:ascii="Arial" w:hAnsi="Arial" w:cs="Arial"/>
                <w:b/>
                <w:bCs/>
                <w:color w:val="000000"/>
                <w:szCs w:val="22"/>
                <w:lang w:val="es-ES"/>
              </w:rPr>
              <w:t xml:space="preserve">Unión Europea </w:t>
            </w:r>
          </w:p>
        </w:tc>
        <w:tc>
          <w:tcPr>
            <w:tcW w:w="944" w:type="dxa"/>
            <w:tcBorders>
              <w:top w:val="nil"/>
              <w:left w:val="nil"/>
              <w:bottom w:val="single" w:sz="4" w:space="0" w:color="auto"/>
              <w:right w:val="single" w:sz="4" w:space="0" w:color="auto"/>
            </w:tcBorders>
            <w:shd w:val="clear" w:color="auto" w:fill="auto"/>
            <w:noWrap/>
            <w:vAlign w:val="bottom"/>
            <w:hideMark/>
          </w:tcPr>
          <w:p w14:paraId="39ECC64B" w14:textId="77777777" w:rsidR="003E59B7" w:rsidRPr="005A071F" w:rsidRDefault="003E59B7" w:rsidP="00F35BF2">
            <w:pPr>
              <w:jc w:val="right"/>
              <w:rPr>
                <w:rFonts w:ascii="Arial" w:hAnsi="Arial" w:cs="Arial"/>
                <w:b/>
                <w:bCs/>
                <w:color w:val="000000"/>
                <w:szCs w:val="22"/>
                <w:lang w:val="es-ES"/>
              </w:rPr>
            </w:pPr>
            <w:r w:rsidRPr="005A071F">
              <w:rPr>
                <w:rFonts w:ascii="Arial" w:hAnsi="Arial" w:cs="Arial"/>
                <w:b/>
                <w:bCs/>
                <w:color w:val="000000"/>
                <w:szCs w:val="22"/>
                <w:lang w:val="es-ES"/>
              </w:rPr>
              <w:t>21.894</w:t>
            </w:r>
          </w:p>
        </w:tc>
        <w:tc>
          <w:tcPr>
            <w:tcW w:w="702" w:type="dxa"/>
            <w:tcBorders>
              <w:top w:val="nil"/>
              <w:left w:val="nil"/>
              <w:bottom w:val="single" w:sz="4" w:space="0" w:color="auto"/>
              <w:right w:val="single" w:sz="8" w:space="0" w:color="auto"/>
            </w:tcBorders>
            <w:shd w:val="clear" w:color="auto" w:fill="auto"/>
            <w:noWrap/>
            <w:vAlign w:val="bottom"/>
            <w:hideMark/>
          </w:tcPr>
          <w:p w14:paraId="4B7FEB02" w14:textId="77777777" w:rsidR="003E59B7" w:rsidRPr="005A071F" w:rsidRDefault="003E59B7" w:rsidP="00F35BF2">
            <w:pPr>
              <w:jc w:val="right"/>
              <w:rPr>
                <w:rFonts w:ascii="Arial" w:hAnsi="Arial" w:cs="Arial"/>
                <w:b/>
                <w:bCs/>
                <w:color w:val="000000"/>
                <w:szCs w:val="22"/>
                <w:lang w:val="es-ES"/>
              </w:rPr>
            </w:pPr>
            <w:r w:rsidRPr="005A071F">
              <w:rPr>
                <w:rFonts w:ascii="Arial" w:hAnsi="Arial" w:cs="Arial"/>
                <w:b/>
                <w:bCs/>
                <w:color w:val="000000"/>
                <w:szCs w:val="22"/>
                <w:lang w:val="es-ES"/>
              </w:rPr>
              <w:t>24%</w:t>
            </w:r>
          </w:p>
        </w:tc>
        <w:tc>
          <w:tcPr>
            <w:tcW w:w="2746" w:type="dxa"/>
            <w:tcBorders>
              <w:top w:val="nil"/>
              <w:left w:val="nil"/>
              <w:bottom w:val="nil"/>
              <w:right w:val="nil"/>
            </w:tcBorders>
            <w:shd w:val="clear" w:color="auto" w:fill="auto"/>
            <w:noWrap/>
            <w:vAlign w:val="bottom"/>
            <w:hideMark/>
          </w:tcPr>
          <w:p w14:paraId="05679BAC" w14:textId="77777777" w:rsidR="003E59B7" w:rsidRPr="005A071F" w:rsidRDefault="003E59B7" w:rsidP="00F35BF2">
            <w:pPr>
              <w:jc w:val="right"/>
              <w:rPr>
                <w:rFonts w:ascii="Arial" w:hAnsi="Arial" w:cs="Arial"/>
                <w:b/>
                <w:bCs/>
                <w:color w:val="000000"/>
                <w:sz w:val="28"/>
                <w:szCs w:val="28"/>
                <w:lang w:val="es-ES"/>
              </w:rPr>
            </w:pPr>
          </w:p>
        </w:tc>
        <w:tc>
          <w:tcPr>
            <w:tcW w:w="1208" w:type="dxa"/>
            <w:tcBorders>
              <w:top w:val="nil"/>
              <w:left w:val="nil"/>
              <w:bottom w:val="nil"/>
              <w:right w:val="nil"/>
            </w:tcBorders>
            <w:shd w:val="clear" w:color="auto" w:fill="auto"/>
            <w:noWrap/>
            <w:vAlign w:val="bottom"/>
            <w:hideMark/>
          </w:tcPr>
          <w:p w14:paraId="72CBD732" w14:textId="77777777" w:rsidR="003E59B7" w:rsidRPr="005A071F" w:rsidRDefault="003E59B7" w:rsidP="00F35BF2">
            <w:pPr>
              <w:rPr>
                <w:rFonts w:ascii="Arial" w:hAnsi="Arial" w:cs="Arial"/>
                <w:sz w:val="20"/>
                <w:lang w:val="es-ES"/>
              </w:rPr>
            </w:pPr>
          </w:p>
        </w:tc>
        <w:tc>
          <w:tcPr>
            <w:tcW w:w="1208" w:type="dxa"/>
            <w:tcBorders>
              <w:top w:val="nil"/>
              <w:left w:val="nil"/>
              <w:bottom w:val="nil"/>
              <w:right w:val="nil"/>
            </w:tcBorders>
            <w:shd w:val="clear" w:color="auto" w:fill="auto"/>
            <w:noWrap/>
            <w:vAlign w:val="bottom"/>
            <w:hideMark/>
          </w:tcPr>
          <w:p w14:paraId="110B7E78" w14:textId="77777777" w:rsidR="003E59B7" w:rsidRPr="005A071F" w:rsidRDefault="003E59B7" w:rsidP="00F35BF2">
            <w:pPr>
              <w:rPr>
                <w:rFonts w:ascii="Arial" w:hAnsi="Arial" w:cs="Arial"/>
                <w:sz w:val="20"/>
                <w:lang w:val="es-ES"/>
              </w:rPr>
            </w:pPr>
          </w:p>
        </w:tc>
        <w:tc>
          <w:tcPr>
            <w:tcW w:w="828" w:type="dxa"/>
            <w:tcBorders>
              <w:top w:val="nil"/>
              <w:left w:val="nil"/>
              <w:bottom w:val="nil"/>
              <w:right w:val="nil"/>
            </w:tcBorders>
            <w:shd w:val="clear" w:color="auto" w:fill="auto"/>
            <w:noWrap/>
            <w:vAlign w:val="bottom"/>
            <w:hideMark/>
          </w:tcPr>
          <w:p w14:paraId="00FF8B41" w14:textId="77777777" w:rsidR="003E59B7" w:rsidRPr="005A071F" w:rsidRDefault="003E59B7" w:rsidP="00F35BF2">
            <w:pPr>
              <w:rPr>
                <w:rFonts w:ascii="Arial" w:hAnsi="Arial" w:cs="Arial"/>
                <w:sz w:val="20"/>
                <w:lang w:val="es-ES"/>
              </w:rPr>
            </w:pPr>
          </w:p>
        </w:tc>
        <w:tc>
          <w:tcPr>
            <w:tcW w:w="168" w:type="dxa"/>
            <w:tcBorders>
              <w:top w:val="nil"/>
              <w:left w:val="nil"/>
              <w:bottom w:val="nil"/>
              <w:right w:val="nil"/>
            </w:tcBorders>
            <w:shd w:val="clear" w:color="auto" w:fill="auto"/>
            <w:noWrap/>
            <w:vAlign w:val="bottom"/>
            <w:hideMark/>
          </w:tcPr>
          <w:p w14:paraId="668DDEEE" w14:textId="77777777" w:rsidR="003E59B7" w:rsidRPr="005A071F" w:rsidRDefault="003E59B7" w:rsidP="00F35BF2">
            <w:pPr>
              <w:rPr>
                <w:rFonts w:ascii="Arial" w:hAnsi="Arial" w:cs="Arial"/>
                <w:sz w:val="20"/>
                <w:lang w:val="es-ES"/>
              </w:rPr>
            </w:pPr>
          </w:p>
        </w:tc>
        <w:tc>
          <w:tcPr>
            <w:tcW w:w="1208" w:type="dxa"/>
            <w:tcBorders>
              <w:top w:val="nil"/>
              <w:left w:val="nil"/>
              <w:bottom w:val="nil"/>
              <w:right w:val="nil"/>
            </w:tcBorders>
            <w:shd w:val="clear" w:color="auto" w:fill="auto"/>
            <w:noWrap/>
            <w:vAlign w:val="bottom"/>
            <w:hideMark/>
          </w:tcPr>
          <w:p w14:paraId="6BAE31A4" w14:textId="77777777" w:rsidR="003E59B7" w:rsidRPr="005A071F" w:rsidRDefault="003E59B7" w:rsidP="00F35BF2">
            <w:pPr>
              <w:rPr>
                <w:rFonts w:ascii="Arial" w:hAnsi="Arial" w:cs="Arial"/>
                <w:sz w:val="20"/>
                <w:lang w:val="es-ES"/>
              </w:rPr>
            </w:pPr>
          </w:p>
        </w:tc>
      </w:tr>
      <w:tr w:rsidR="003E59B7" w:rsidRPr="005A071F" w14:paraId="48410873" w14:textId="77777777" w:rsidTr="00F35BF2">
        <w:trPr>
          <w:trHeight w:val="553"/>
        </w:trPr>
        <w:tc>
          <w:tcPr>
            <w:tcW w:w="1888" w:type="dxa"/>
            <w:tcBorders>
              <w:top w:val="nil"/>
              <w:left w:val="single" w:sz="8" w:space="0" w:color="auto"/>
              <w:bottom w:val="single" w:sz="4" w:space="0" w:color="auto"/>
              <w:right w:val="single" w:sz="4" w:space="0" w:color="auto"/>
            </w:tcBorders>
            <w:shd w:val="clear" w:color="auto" w:fill="auto"/>
            <w:vAlign w:val="bottom"/>
            <w:hideMark/>
          </w:tcPr>
          <w:p w14:paraId="3FEDF1E7" w14:textId="77777777" w:rsidR="003E59B7" w:rsidRPr="005A071F" w:rsidRDefault="003E59B7" w:rsidP="00F35BF2">
            <w:pPr>
              <w:rPr>
                <w:rFonts w:ascii="Arial" w:hAnsi="Arial" w:cs="Arial"/>
                <w:b/>
                <w:bCs/>
                <w:color w:val="000000"/>
                <w:szCs w:val="22"/>
                <w:lang w:val="es-ES"/>
              </w:rPr>
            </w:pPr>
            <w:r w:rsidRPr="005A071F">
              <w:rPr>
                <w:rFonts w:ascii="Arial" w:hAnsi="Arial" w:cs="Arial"/>
                <w:b/>
                <w:bCs/>
                <w:color w:val="000000"/>
                <w:szCs w:val="22"/>
                <w:lang w:val="es-ES"/>
              </w:rPr>
              <w:t>No Unión Europea</w:t>
            </w:r>
          </w:p>
        </w:tc>
        <w:tc>
          <w:tcPr>
            <w:tcW w:w="944" w:type="dxa"/>
            <w:tcBorders>
              <w:top w:val="nil"/>
              <w:left w:val="nil"/>
              <w:bottom w:val="single" w:sz="4" w:space="0" w:color="auto"/>
              <w:right w:val="single" w:sz="4" w:space="0" w:color="auto"/>
            </w:tcBorders>
            <w:shd w:val="clear" w:color="auto" w:fill="auto"/>
            <w:noWrap/>
            <w:vAlign w:val="bottom"/>
            <w:hideMark/>
          </w:tcPr>
          <w:p w14:paraId="2666141F" w14:textId="77777777" w:rsidR="003E59B7" w:rsidRPr="005A071F" w:rsidRDefault="003E59B7" w:rsidP="00F35BF2">
            <w:pPr>
              <w:jc w:val="right"/>
              <w:rPr>
                <w:rFonts w:ascii="Arial" w:hAnsi="Arial" w:cs="Arial"/>
                <w:b/>
                <w:bCs/>
                <w:color w:val="000000"/>
                <w:szCs w:val="22"/>
                <w:lang w:val="es-ES"/>
              </w:rPr>
            </w:pPr>
            <w:r w:rsidRPr="005A071F">
              <w:rPr>
                <w:rFonts w:ascii="Arial" w:hAnsi="Arial" w:cs="Arial"/>
                <w:b/>
                <w:bCs/>
                <w:color w:val="000000"/>
                <w:szCs w:val="22"/>
                <w:lang w:val="es-ES"/>
              </w:rPr>
              <w:t>26.418</w:t>
            </w:r>
          </w:p>
        </w:tc>
        <w:tc>
          <w:tcPr>
            <w:tcW w:w="702" w:type="dxa"/>
            <w:tcBorders>
              <w:top w:val="nil"/>
              <w:left w:val="nil"/>
              <w:bottom w:val="single" w:sz="4" w:space="0" w:color="auto"/>
              <w:right w:val="single" w:sz="8" w:space="0" w:color="auto"/>
            </w:tcBorders>
            <w:shd w:val="clear" w:color="auto" w:fill="auto"/>
            <w:noWrap/>
            <w:vAlign w:val="bottom"/>
            <w:hideMark/>
          </w:tcPr>
          <w:p w14:paraId="351E9DA3" w14:textId="77777777" w:rsidR="003E59B7" w:rsidRPr="005A071F" w:rsidRDefault="003E59B7" w:rsidP="00F35BF2">
            <w:pPr>
              <w:jc w:val="right"/>
              <w:rPr>
                <w:rFonts w:ascii="Arial" w:hAnsi="Arial" w:cs="Arial"/>
                <w:b/>
                <w:bCs/>
                <w:color w:val="000000"/>
                <w:szCs w:val="22"/>
                <w:lang w:val="es-ES"/>
              </w:rPr>
            </w:pPr>
            <w:r w:rsidRPr="005A071F">
              <w:rPr>
                <w:rFonts w:ascii="Arial" w:hAnsi="Arial" w:cs="Arial"/>
                <w:b/>
                <w:bCs/>
                <w:color w:val="000000"/>
                <w:szCs w:val="22"/>
                <w:lang w:val="es-ES"/>
              </w:rPr>
              <w:t>29%</w:t>
            </w:r>
          </w:p>
        </w:tc>
        <w:tc>
          <w:tcPr>
            <w:tcW w:w="2746" w:type="dxa"/>
            <w:tcBorders>
              <w:top w:val="nil"/>
              <w:left w:val="nil"/>
              <w:bottom w:val="nil"/>
              <w:right w:val="nil"/>
            </w:tcBorders>
            <w:shd w:val="clear" w:color="auto" w:fill="auto"/>
            <w:noWrap/>
            <w:vAlign w:val="bottom"/>
            <w:hideMark/>
          </w:tcPr>
          <w:p w14:paraId="72924EC7" w14:textId="77777777" w:rsidR="003E59B7" w:rsidRPr="005A071F" w:rsidRDefault="003E59B7" w:rsidP="00F35BF2">
            <w:pPr>
              <w:jc w:val="right"/>
              <w:rPr>
                <w:rFonts w:ascii="Arial" w:hAnsi="Arial" w:cs="Arial"/>
                <w:b/>
                <w:bCs/>
                <w:color w:val="000000"/>
                <w:sz w:val="28"/>
                <w:szCs w:val="28"/>
                <w:lang w:val="es-ES"/>
              </w:rPr>
            </w:pPr>
          </w:p>
        </w:tc>
        <w:tc>
          <w:tcPr>
            <w:tcW w:w="1208" w:type="dxa"/>
            <w:tcBorders>
              <w:top w:val="nil"/>
              <w:left w:val="nil"/>
              <w:bottom w:val="nil"/>
              <w:right w:val="nil"/>
            </w:tcBorders>
            <w:shd w:val="clear" w:color="auto" w:fill="auto"/>
            <w:noWrap/>
            <w:vAlign w:val="bottom"/>
            <w:hideMark/>
          </w:tcPr>
          <w:p w14:paraId="71E51CF4" w14:textId="77777777" w:rsidR="003E59B7" w:rsidRPr="005A071F" w:rsidRDefault="003E59B7" w:rsidP="00F35BF2">
            <w:pPr>
              <w:rPr>
                <w:rFonts w:ascii="Arial" w:hAnsi="Arial" w:cs="Arial"/>
                <w:sz w:val="20"/>
                <w:lang w:val="es-ES"/>
              </w:rPr>
            </w:pPr>
          </w:p>
        </w:tc>
        <w:tc>
          <w:tcPr>
            <w:tcW w:w="1208" w:type="dxa"/>
            <w:tcBorders>
              <w:top w:val="nil"/>
              <w:left w:val="nil"/>
              <w:bottom w:val="nil"/>
              <w:right w:val="nil"/>
            </w:tcBorders>
            <w:shd w:val="clear" w:color="auto" w:fill="auto"/>
            <w:noWrap/>
            <w:vAlign w:val="bottom"/>
            <w:hideMark/>
          </w:tcPr>
          <w:p w14:paraId="7D94B5CC" w14:textId="77777777" w:rsidR="003E59B7" w:rsidRPr="005A071F" w:rsidRDefault="003E59B7" w:rsidP="00F35BF2">
            <w:pPr>
              <w:rPr>
                <w:rFonts w:ascii="Arial" w:hAnsi="Arial" w:cs="Arial"/>
                <w:sz w:val="20"/>
                <w:lang w:val="es-ES"/>
              </w:rPr>
            </w:pPr>
          </w:p>
        </w:tc>
        <w:tc>
          <w:tcPr>
            <w:tcW w:w="828" w:type="dxa"/>
            <w:tcBorders>
              <w:top w:val="nil"/>
              <w:left w:val="nil"/>
              <w:bottom w:val="nil"/>
              <w:right w:val="nil"/>
            </w:tcBorders>
            <w:shd w:val="clear" w:color="auto" w:fill="auto"/>
            <w:noWrap/>
            <w:vAlign w:val="bottom"/>
            <w:hideMark/>
          </w:tcPr>
          <w:p w14:paraId="4D0F485F" w14:textId="77777777" w:rsidR="003E59B7" w:rsidRPr="005A071F" w:rsidRDefault="003E59B7" w:rsidP="00F35BF2">
            <w:pPr>
              <w:rPr>
                <w:rFonts w:ascii="Arial" w:hAnsi="Arial" w:cs="Arial"/>
                <w:sz w:val="20"/>
                <w:lang w:val="es-ES"/>
              </w:rPr>
            </w:pPr>
          </w:p>
        </w:tc>
        <w:tc>
          <w:tcPr>
            <w:tcW w:w="168" w:type="dxa"/>
            <w:tcBorders>
              <w:top w:val="nil"/>
              <w:left w:val="nil"/>
              <w:bottom w:val="nil"/>
              <w:right w:val="nil"/>
            </w:tcBorders>
            <w:shd w:val="clear" w:color="auto" w:fill="auto"/>
            <w:noWrap/>
            <w:vAlign w:val="bottom"/>
            <w:hideMark/>
          </w:tcPr>
          <w:p w14:paraId="5E5848B0" w14:textId="77777777" w:rsidR="003E59B7" w:rsidRPr="005A071F" w:rsidRDefault="003E59B7" w:rsidP="00F35BF2">
            <w:pPr>
              <w:rPr>
                <w:rFonts w:ascii="Arial" w:hAnsi="Arial" w:cs="Arial"/>
                <w:sz w:val="20"/>
                <w:lang w:val="es-ES"/>
              </w:rPr>
            </w:pPr>
          </w:p>
        </w:tc>
        <w:tc>
          <w:tcPr>
            <w:tcW w:w="1208" w:type="dxa"/>
            <w:tcBorders>
              <w:top w:val="nil"/>
              <w:left w:val="nil"/>
              <w:bottom w:val="nil"/>
              <w:right w:val="nil"/>
            </w:tcBorders>
            <w:shd w:val="clear" w:color="auto" w:fill="auto"/>
            <w:noWrap/>
            <w:vAlign w:val="bottom"/>
            <w:hideMark/>
          </w:tcPr>
          <w:p w14:paraId="7BE98284" w14:textId="77777777" w:rsidR="003E59B7" w:rsidRPr="005A071F" w:rsidRDefault="003E59B7" w:rsidP="00F35BF2">
            <w:pPr>
              <w:rPr>
                <w:rFonts w:ascii="Arial" w:hAnsi="Arial" w:cs="Arial"/>
                <w:sz w:val="20"/>
                <w:lang w:val="es-ES"/>
              </w:rPr>
            </w:pPr>
          </w:p>
        </w:tc>
      </w:tr>
      <w:tr w:rsidR="003E59B7" w:rsidRPr="005A071F" w14:paraId="2EB095A7" w14:textId="77777777" w:rsidTr="00F35BF2">
        <w:trPr>
          <w:trHeight w:val="570"/>
        </w:trPr>
        <w:tc>
          <w:tcPr>
            <w:tcW w:w="1888" w:type="dxa"/>
            <w:tcBorders>
              <w:top w:val="nil"/>
              <w:left w:val="single" w:sz="8" w:space="0" w:color="auto"/>
              <w:bottom w:val="single" w:sz="4" w:space="0" w:color="auto"/>
              <w:right w:val="single" w:sz="4" w:space="0" w:color="auto"/>
            </w:tcBorders>
            <w:shd w:val="clear" w:color="auto" w:fill="auto"/>
            <w:vAlign w:val="bottom"/>
            <w:hideMark/>
          </w:tcPr>
          <w:p w14:paraId="01EDFF6B" w14:textId="77777777" w:rsidR="003E59B7" w:rsidRPr="005A071F" w:rsidRDefault="003E59B7" w:rsidP="00F35BF2">
            <w:pPr>
              <w:rPr>
                <w:rFonts w:ascii="Arial" w:hAnsi="Arial" w:cs="Arial"/>
                <w:b/>
                <w:bCs/>
                <w:color w:val="000000"/>
                <w:szCs w:val="22"/>
                <w:lang w:val="es-ES"/>
              </w:rPr>
            </w:pPr>
            <w:r w:rsidRPr="005A071F">
              <w:rPr>
                <w:rFonts w:ascii="Arial" w:hAnsi="Arial" w:cs="Arial"/>
                <w:b/>
                <w:bCs/>
                <w:color w:val="000000"/>
                <w:szCs w:val="22"/>
                <w:lang w:val="es-ES"/>
              </w:rPr>
              <w:t xml:space="preserve">Españoles </w:t>
            </w:r>
          </w:p>
        </w:tc>
        <w:tc>
          <w:tcPr>
            <w:tcW w:w="944" w:type="dxa"/>
            <w:tcBorders>
              <w:top w:val="nil"/>
              <w:left w:val="nil"/>
              <w:bottom w:val="single" w:sz="4" w:space="0" w:color="auto"/>
              <w:right w:val="single" w:sz="4" w:space="0" w:color="auto"/>
            </w:tcBorders>
            <w:shd w:val="clear" w:color="auto" w:fill="auto"/>
            <w:noWrap/>
            <w:vAlign w:val="bottom"/>
            <w:hideMark/>
          </w:tcPr>
          <w:p w14:paraId="226C64F8" w14:textId="77777777" w:rsidR="003E59B7" w:rsidRPr="005A071F" w:rsidRDefault="003E59B7" w:rsidP="00F35BF2">
            <w:pPr>
              <w:jc w:val="right"/>
              <w:rPr>
                <w:rFonts w:ascii="Arial" w:hAnsi="Arial" w:cs="Arial"/>
                <w:b/>
                <w:bCs/>
                <w:color w:val="000000"/>
                <w:szCs w:val="22"/>
                <w:lang w:val="es-ES"/>
              </w:rPr>
            </w:pPr>
            <w:r w:rsidRPr="005A071F">
              <w:rPr>
                <w:rFonts w:ascii="Arial" w:hAnsi="Arial" w:cs="Arial"/>
                <w:b/>
                <w:bCs/>
                <w:color w:val="000000"/>
                <w:szCs w:val="22"/>
                <w:lang w:val="es-ES"/>
              </w:rPr>
              <w:t>42.979</w:t>
            </w:r>
          </w:p>
        </w:tc>
        <w:tc>
          <w:tcPr>
            <w:tcW w:w="702" w:type="dxa"/>
            <w:tcBorders>
              <w:top w:val="nil"/>
              <w:left w:val="nil"/>
              <w:bottom w:val="single" w:sz="4" w:space="0" w:color="auto"/>
              <w:right w:val="single" w:sz="8" w:space="0" w:color="auto"/>
            </w:tcBorders>
            <w:shd w:val="clear" w:color="auto" w:fill="auto"/>
            <w:noWrap/>
            <w:vAlign w:val="bottom"/>
            <w:hideMark/>
          </w:tcPr>
          <w:p w14:paraId="336A414F" w14:textId="77777777" w:rsidR="003E59B7" w:rsidRPr="005A071F" w:rsidRDefault="003E59B7" w:rsidP="00F35BF2">
            <w:pPr>
              <w:jc w:val="right"/>
              <w:rPr>
                <w:rFonts w:ascii="Arial" w:hAnsi="Arial" w:cs="Arial"/>
                <w:b/>
                <w:bCs/>
                <w:color w:val="000000"/>
                <w:szCs w:val="22"/>
                <w:lang w:val="es-ES"/>
              </w:rPr>
            </w:pPr>
            <w:r w:rsidRPr="005A071F">
              <w:rPr>
                <w:rFonts w:ascii="Arial" w:hAnsi="Arial" w:cs="Arial"/>
                <w:b/>
                <w:bCs/>
                <w:color w:val="000000"/>
                <w:szCs w:val="22"/>
                <w:lang w:val="es-ES"/>
              </w:rPr>
              <w:t>47%</w:t>
            </w:r>
          </w:p>
        </w:tc>
        <w:tc>
          <w:tcPr>
            <w:tcW w:w="2746" w:type="dxa"/>
            <w:tcBorders>
              <w:top w:val="nil"/>
              <w:left w:val="nil"/>
              <w:bottom w:val="nil"/>
              <w:right w:val="nil"/>
            </w:tcBorders>
            <w:shd w:val="clear" w:color="auto" w:fill="auto"/>
            <w:noWrap/>
            <w:vAlign w:val="bottom"/>
            <w:hideMark/>
          </w:tcPr>
          <w:p w14:paraId="0E583B8F" w14:textId="77777777" w:rsidR="003E59B7" w:rsidRPr="005A071F" w:rsidRDefault="003E59B7" w:rsidP="00F35BF2">
            <w:pPr>
              <w:jc w:val="right"/>
              <w:rPr>
                <w:rFonts w:ascii="Arial" w:hAnsi="Arial" w:cs="Arial"/>
                <w:b/>
                <w:bCs/>
                <w:color w:val="000000"/>
                <w:sz w:val="28"/>
                <w:szCs w:val="28"/>
                <w:lang w:val="es-ES"/>
              </w:rPr>
            </w:pPr>
          </w:p>
        </w:tc>
        <w:tc>
          <w:tcPr>
            <w:tcW w:w="1208" w:type="dxa"/>
            <w:tcBorders>
              <w:top w:val="nil"/>
              <w:left w:val="nil"/>
              <w:bottom w:val="nil"/>
              <w:right w:val="nil"/>
            </w:tcBorders>
            <w:shd w:val="clear" w:color="auto" w:fill="auto"/>
            <w:noWrap/>
            <w:vAlign w:val="bottom"/>
            <w:hideMark/>
          </w:tcPr>
          <w:p w14:paraId="69F197D7" w14:textId="77777777" w:rsidR="003E59B7" w:rsidRPr="005A071F" w:rsidRDefault="003E59B7" w:rsidP="00F35BF2">
            <w:pPr>
              <w:rPr>
                <w:rFonts w:ascii="Arial" w:hAnsi="Arial" w:cs="Arial"/>
                <w:sz w:val="20"/>
                <w:lang w:val="es-ES"/>
              </w:rPr>
            </w:pPr>
          </w:p>
        </w:tc>
        <w:tc>
          <w:tcPr>
            <w:tcW w:w="1208" w:type="dxa"/>
            <w:tcBorders>
              <w:top w:val="nil"/>
              <w:left w:val="nil"/>
              <w:bottom w:val="nil"/>
              <w:right w:val="nil"/>
            </w:tcBorders>
            <w:shd w:val="clear" w:color="auto" w:fill="auto"/>
            <w:noWrap/>
            <w:vAlign w:val="bottom"/>
            <w:hideMark/>
          </w:tcPr>
          <w:p w14:paraId="745B0A77" w14:textId="77777777" w:rsidR="003E59B7" w:rsidRPr="005A071F" w:rsidRDefault="003E59B7" w:rsidP="00F35BF2">
            <w:pPr>
              <w:rPr>
                <w:rFonts w:ascii="Arial" w:hAnsi="Arial" w:cs="Arial"/>
                <w:sz w:val="20"/>
                <w:lang w:val="es-ES"/>
              </w:rPr>
            </w:pPr>
          </w:p>
        </w:tc>
        <w:tc>
          <w:tcPr>
            <w:tcW w:w="828" w:type="dxa"/>
            <w:tcBorders>
              <w:top w:val="nil"/>
              <w:left w:val="nil"/>
              <w:bottom w:val="nil"/>
              <w:right w:val="nil"/>
            </w:tcBorders>
            <w:shd w:val="clear" w:color="auto" w:fill="auto"/>
            <w:noWrap/>
            <w:vAlign w:val="bottom"/>
            <w:hideMark/>
          </w:tcPr>
          <w:p w14:paraId="63AD5EA1" w14:textId="77777777" w:rsidR="003E59B7" w:rsidRPr="005A071F" w:rsidRDefault="003E59B7" w:rsidP="00F35BF2">
            <w:pPr>
              <w:rPr>
                <w:rFonts w:ascii="Arial" w:hAnsi="Arial" w:cs="Arial"/>
                <w:sz w:val="20"/>
                <w:lang w:val="es-ES"/>
              </w:rPr>
            </w:pPr>
          </w:p>
        </w:tc>
        <w:tc>
          <w:tcPr>
            <w:tcW w:w="168" w:type="dxa"/>
            <w:tcBorders>
              <w:top w:val="nil"/>
              <w:left w:val="nil"/>
              <w:bottom w:val="nil"/>
              <w:right w:val="nil"/>
            </w:tcBorders>
            <w:shd w:val="clear" w:color="auto" w:fill="auto"/>
            <w:noWrap/>
            <w:vAlign w:val="bottom"/>
            <w:hideMark/>
          </w:tcPr>
          <w:p w14:paraId="0D1439CE" w14:textId="77777777" w:rsidR="003E59B7" w:rsidRPr="005A071F" w:rsidRDefault="003E59B7" w:rsidP="00F35BF2">
            <w:pPr>
              <w:rPr>
                <w:rFonts w:ascii="Arial" w:hAnsi="Arial" w:cs="Arial"/>
                <w:sz w:val="20"/>
                <w:lang w:val="es-ES"/>
              </w:rPr>
            </w:pPr>
          </w:p>
        </w:tc>
        <w:tc>
          <w:tcPr>
            <w:tcW w:w="1208" w:type="dxa"/>
            <w:tcBorders>
              <w:top w:val="nil"/>
              <w:left w:val="nil"/>
              <w:bottom w:val="nil"/>
              <w:right w:val="nil"/>
            </w:tcBorders>
            <w:shd w:val="clear" w:color="auto" w:fill="auto"/>
            <w:noWrap/>
            <w:vAlign w:val="bottom"/>
            <w:hideMark/>
          </w:tcPr>
          <w:p w14:paraId="5BFA5C37" w14:textId="77777777" w:rsidR="003E59B7" w:rsidRPr="005A071F" w:rsidRDefault="003E59B7" w:rsidP="00F35BF2">
            <w:pPr>
              <w:rPr>
                <w:rFonts w:ascii="Arial" w:hAnsi="Arial" w:cs="Arial"/>
                <w:sz w:val="20"/>
                <w:lang w:val="es-ES"/>
              </w:rPr>
            </w:pPr>
          </w:p>
        </w:tc>
      </w:tr>
      <w:tr w:rsidR="003E59B7" w:rsidRPr="005A071F" w14:paraId="0B87506A" w14:textId="77777777" w:rsidTr="00F35BF2">
        <w:trPr>
          <w:trHeight w:val="510"/>
        </w:trPr>
        <w:tc>
          <w:tcPr>
            <w:tcW w:w="1888" w:type="dxa"/>
            <w:tcBorders>
              <w:top w:val="nil"/>
              <w:left w:val="single" w:sz="8" w:space="0" w:color="auto"/>
              <w:bottom w:val="single" w:sz="8" w:space="0" w:color="auto"/>
              <w:right w:val="single" w:sz="4" w:space="0" w:color="auto"/>
            </w:tcBorders>
            <w:shd w:val="clear" w:color="auto" w:fill="DEEAF6" w:themeFill="accent5" w:themeFillTint="33"/>
            <w:vAlign w:val="bottom"/>
            <w:hideMark/>
          </w:tcPr>
          <w:p w14:paraId="476A022E" w14:textId="77777777" w:rsidR="003E59B7" w:rsidRPr="005A071F" w:rsidRDefault="003E59B7" w:rsidP="00F35BF2">
            <w:pPr>
              <w:rPr>
                <w:rFonts w:ascii="Arial" w:hAnsi="Arial" w:cs="Arial"/>
                <w:b/>
                <w:bCs/>
                <w:color w:val="000000"/>
                <w:szCs w:val="22"/>
                <w:lang w:val="es-ES"/>
              </w:rPr>
            </w:pPr>
            <w:r w:rsidRPr="005A071F">
              <w:rPr>
                <w:rFonts w:ascii="Arial" w:hAnsi="Arial" w:cs="Arial"/>
                <w:b/>
                <w:bCs/>
                <w:color w:val="000000"/>
                <w:szCs w:val="22"/>
                <w:lang w:val="es-ES"/>
              </w:rPr>
              <w:t xml:space="preserve">TOTAL </w:t>
            </w:r>
          </w:p>
        </w:tc>
        <w:tc>
          <w:tcPr>
            <w:tcW w:w="1646" w:type="dxa"/>
            <w:gridSpan w:val="2"/>
            <w:tcBorders>
              <w:top w:val="single" w:sz="4" w:space="0" w:color="auto"/>
              <w:left w:val="nil"/>
              <w:bottom w:val="single" w:sz="8" w:space="0" w:color="auto"/>
              <w:right w:val="single" w:sz="8" w:space="0" w:color="000000"/>
            </w:tcBorders>
            <w:shd w:val="clear" w:color="auto" w:fill="DEEAF6" w:themeFill="accent5" w:themeFillTint="33"/>
            <w:noWrap/>
            <w:vAlign w:val="bottom"/>
            <w:hideMark/>
          </w:tcPr>
          <w:p w14:paraId="48E288BC" w14:textId="77777777" w:rsidR="003E59B7" w:rsidRPr="00DF70A8" w:rsidRDefault="003E59B7" w:rsidP="00F35BF2">
            <w:pPr>
              <w:jc w:val="right"/>
              <w:rPr>
                <w:rFonts w:ascii="Arial" w:hAnsi="Arial" w:cs="Arial"/>
                <w:b/>
                <w:bCs/>
                <w:color w:val="000000"/>
                <w:sz w:val="32"/>
                <w:szCs w:val="32"/>
                <w:lang w:val="es-ES"/>
              </w:rPr>
            </w:pPr>
            <w:r w:rsidRPr="00DF70A8">
              <w:rPr>
                <w:rFonts w:ascii="Arial" w:hAnsi="Arial" w:cs="Arial"/>
                <w:b/>
                <w:bCs/>
                <w:color w:val="000000"/>
                <w:sz w:val="32"/>
                <w:szCs w:val="32"/>
                <w:lang w:val="es-ES"/>
              </w:rPr>
              <w:t>91.291</w:t>
            </w:r>
          </w:p>
        </w:tc>
        <w:tc>
          <w:tcPr>
            <w:tcW w:w="2746" w:type="dxa"/>
            <w:tcBorders>
              <w:top w:val="nil"/>
              <w:left w:val="nil"/>
              <w:bottom w:val="nil"/>
              <w:right w:val="nil"/>
            </w:tcBorders>
            <w:shd w:val="clear" w:color="auto" w:fill="auto"/>
            <w:noWrap/>
            <w:vAlign w:val="bottom"/>
            <w:hideMark/>
          </w:tcPr>
          <w:p w14:paraId="35A46EF6" w14:textId="77777777" w:rsidR="003E59B7" w:rsidRPr="005A071F" w:rsidRDefault="003E59B7" w:rsidP="00F35BF2">
            <w:pPr>
              <w:jc w:val="right"/>
              <w:rPr>
                <w:rFonts w:ascii="Arial" w:hAnsi="Arial" w:cs="Arial"/>
                <w:b/>
                <w:bCs/>
                <w:color w:val="000000"/>
                <w:sz w:val="28"/>
                <w:szCs w:val="28"/>
                <w:lang w:val="es-ES"/>
              </w:rPr>
            </w:pPr>
          </w:p>
        </w:tc>
        <w:tc>
          <w:tcPr>
            <w:tcW w:w="1208" w:type="dxa"/>
            <w:tcBorders>
              <w:top w:val="nil"/>
              <w:left w:val="nil"/>
              <w:bottom w:val="nil"/>
              <w:right w:val="nil"/>
            </w:tcBorders>
            <w:shd w:val="clear" w:color="auto" w:fill="auto"/>
            <w:noWrap/>
            <w:vAlign w:val="bottom"/>
            <w:hideMark/>
          </w:tcPr>
          <w:p w14:paraId="0041A4F8" w14:textId="77777777" w:rsidR="003E59B7" w:rsidRPr="005A071F" w:rsidRDefault="003E59B7" w:rsidP="00F35BF2">
            <w:pPr>
              <w:rPr>
                <w:rFonts w:ascii="Arial" w:hAnsi="Arial" w:cs="Arial"/>
                <w:sz w:val="20"/>
                <w:lang w:val="es-ES"/>
              </w:rPr>
            </w:pPr>
          </w:p>
        </w:tc>
        <w:tc>
          <w:tcPr>
            <w:tcW w:w="1208" w:type="dxa"/>
            <w:tcBorders>
              <w:top w:val="nil"/>
              <w:left w:val="nil"/>
              <w:bottom w:val="nil"/>
              <w:right w:val="nil"/>
            </w:tcBorders>
            <w:shd w:val="clear" w:color="auto" w:fill="auto"/>
            <w:noWrap/>
            <w:vAlign w:val="bottom"/>
            <w:hideMark/>
          </w:tcPr>
          <w:p w14:paraId="71626A26" w14:textId="77777777" w:rsidR="003E59B7" w:rsidRPr="005A071F" w:rsidRDefault="003E59B7" w:rsidP="00F35BF2">
            <w:pPr>
              <w:rPr>
                <w:rFonts w:ascii="Arial" w:hAnsi="Arial" w:cs="Arial"/>
                <w:sz w:val="20"/>
                <w:lang w:val="es-ES"/>
              </w:rPr>
            </w:pPr>
          </w:p>
        </w:tc>
        <w:tc>
          <w:tcPr>
            <w:tcW w:w="828" w:type="dxa"/>
            <w:tcBorders>
              <w:top w:val="nil"/>
              <w:left w:val="nil"/>
              <w:bottom w:val="nil"/>
              <w:right w:val="nil"/>
            </w:tcBorders>
            <w:shd w:val="clear" w:color="auto" w:fill="auto"/>
            <w:noWrap/>
            <w:vAlign w:val="bottom"/>
            <w:hideMark/>
          </w:tcPr>
          <w:p w14:paraId="678F2C83" w14:textId="77777777" w:rsidR="003E59B7" w:rsidRPr="005A071F" w:rsidRDefault="003E59B7" w:rsidP="00F35BF2">
            <w:pPr>
              <w:rPr>
                <w:rFonts w:ascii="Arial" w:hAnsi="Arial" w:cs="Arial"/>
                <w:sz w:val="20"/>
                <w:lang w:val="es-ES"/>
              </w:rPr>
            </w:pPr>
          </w:p>
        </w:tc>
        <w:tc>
          <w:tcPr>
            <w:tcW w:w="168" w:type="dxa"/>
            <w:tcBorders>
              <w:top w:val="nil"/>
              <w:left w:val="nil"/>
              <w:bottom w:val="nil"/>
              <w:right w:val="nil"/>
            </w:tcBorders>
            <w:shd w:val="clear" w:color="auto" w:fill="auto"/>
            <w:noWrap/>
            <w:vAlign w:val="bottom"/>
            <w:hideMark/>
          </w:tcPr>
          <w:p w14:paraId="7AAB9DCA" w14:textId="77777777" w:rsidR="003E59B7" w:rsidRPr="005A071F" w:rsidRDefault="003E59B7" w:rsidP="00F35BF2">
            <w:pPr>
              <w:rPr>
                <w:rFonts w:ascii="Arial" w:hAnsi="Arial" w:cs="Arial"/>
                <w:sz w:val="20"/>
                <w:lang w:val="es-ES"/>
              </w:rPr>
            </w:pPr>
          </w:p>
        </w:tc>
        <w:tc>
          <w:tcPr>
            <w:tcW w:w="1208" w:type="dxa"/>
            <w:tcBorders>
              <w:top w:val="nil"/>
              <w:left w:val="nil"/>
              <w:bottom w:val="nil"/>
              <w:right w:val="nil"/>
            </w:tcBorders>
            <w:shd w:val="clear" w:color="auto" w:fill="auto"/>
            <w:noWrap/>
            <w:vAlign w:val="bottom"/>
            <w:hideMark/>
          </w:tcPr>
          <w:p w14:paraId="24D1466C" w14:textId="77777777" w:rsidR="003E59B7" w:rsidRPr="005A071F" w:rsidRDefault="003E59B7" w:rsidP="00F35BF2">
            <w:pPr>
              <w:rPr>
                <w:rFonts w:ascii="Arial" w:hAnsi="Arial" w:cs="Arial"/>
                <w:sz w:val="20"/>
                <w:lang w:val="es-ES"/>
              </w:rPr>
            </w:pPr>
          </w:p>
        </w:tc>
      </w:tr>
      <w:tr w:rsidR="003E59B7" w:rsidRPr="005A071F" w14:paraId="7202C375" w14:textId="77777777" w:rsidTr="00F35BF2">
        <w:trPr>
          <w:trHeight w:val="300"/>
        </w:trPr>
        <w:tc>
          <w:tcPr>
            <w:tcW w:w="1888" w:type="dxa"/>
            <w:tcBorders>
              <w:top w:val="nil"/>
              <w:left w:val="nil"/>
              <w:bottom w:val="nil"/>
              <w:right w:val="nil"/>
            </w:tcBorders>
            <w:shd w:val="clear" w:color="auto" w:fill="auto"/>
            <w:noWrap/>
            <w:vAlign w:val="bottom"/>
            <w:hideMark/>
          </w:tcPr>
          <w:p w14:paraId="6124A84E" w14:textId="77777777" w:rsidR="003E59B7" w:rsidRPr="005A071F" w:rsidRDefault="003E59B7" w:rsidP="00F35BF2">
            <w:pPr>
              <w:rPr>
                <w:rFonts w:ascii="Arial" w:hAnsi="Arial" w:cs="Arial"/>
                <w:sz w:val="20"/>
                <w:lang w:val="es-ES"/>
              </w:rPr>
            </w:pPr>
          </w:p>
        </w:tc>
        <w:tc>
          <w:tcPr>
            <w:tcW w:w="944" w:type="dxa"/>
            <w:tcBorders>
              <w:top w:val="nil"/>
              <w:left w:val="nil"/>
              <w:bottom w:val="nil"/>
              <w:right w:val="nil"/>
            </w:tcBorders>
            <w:shd w:val="clear" w:color="auto" w:fill="auto"/>
            <w:noWrap/>
            <w:vAlign w:val="bottom"/>
            <w:hideMark/>
          </w:tcPr>
          <w:p w14:paraId="5659A235" w14:textId="77777777" w:rsidR="003E59B7" w:rsidRPr="005A071F" w:rsidRDefault="003E59B7" w:rsidP="00F35BF2">
            <w:pPr>
              <w:rPr>
                <w:rFonts w:ascii="Arial" w:hAnsi="Arial" w:cs="Arial"/>
                <w:sz w:val="20"/>
                <w:lang w:val="es-ES"/>
              </w:rPr>
            </w:pPr>
          </w:p>
        </w:tc>
        <w:tc>
          <w:tcPr>
            <w:tcW w:w="702" w:type="dxa"/>
            <w:tcBorders>
              <w:top w:val="nil"/>
              <w:left w:val="nil"/>
              <w:bottom w:val="nil"/>
              <w:right w:val="nil"/>
            </w:tcBorders>
            <w:shd w:val="clear" w:color="auto" w:fill="auto"/>
            <w:noWrap/>
            <w:vAlign w:val="bottom"/>
            <w:hideMark/>
          </w:tcPr>
          <w:p w14:paraId="47B0BE58" w14:textId="77777777" w:rsidR="003E59B7" w:rsidRPr="005A071F" w:rsidRDefault="003E59B7" w:rsidP="00F35BF2">
            <w:pPr>
              <w:rPr>
                <w:rFonts w:ascii="Arial" w:hAnsi="Arial" w:cs="Arial"/>
                <w:sz w:val="20"/>
                <w:lang w:val="es-ES"/>
              </w:rPr>
            </w:pPr>
          </w:p>
        </w:tc>
        <w:tc>
          <w:tcPr>
            <w:tcW w:w="2746" w:type="dxa"/>
            <w:tcBorders>
              <w:top w:val="nil"/>
              <w:left w:val="nil"/>
              <w:bottom w:val="nil"/>
              <w:right w:val="nil"/>
            </w:tcBorders>
            <w:shd w:val="clear" w:color="auto" w:fill="auto"/>
            <w:noWrap/>
            <w:vAlign w:val="bottom"/>
            <w:hideMark/>
          </w:tcPr>
          <w:p w14:paraId="62830FCE" w14:textId="77777777" w:rsidR="003E59B7" w:rsidRPr="005A071F" w:rsidRDefault="003E59B7" w:rsidP="00F35BF2">
            <w:pPr>
              <w:rPr>
                <w:rFonts w:ascii="Arial" w:hAnsi="Arial" w:cs="Arial"/>
                <w:sz w:val="20"/>
                <w:lang w:val="es-ES"/>
              </w:rPr>
            </w:pPr>
          </w:p>
        </w:tc>
        <w:tc>
          <w:tcPr>
            <w:tcW w:w="1208" w:type="dxa"/>
            <w:tcBorders>
              <w:top w:val="nil"/>
              <w:left w:val="nil"/>
              <w:bottom w:val="nil"/>
              <w:right w:val="nil"/>
            </w:tcBorders>
            <w:shd w:val="clear" w:color="auto" w:fill="auto"/>
            <w:noWrap/>
            <w:vAlign w:val="bottom"/>
            <w:hideMark/>
          </w:tcPr>
          <w:p w14:paraId="590249DF" w14:textId="77777777" w:rsidR="003E59B7" w:rsidRPr="005A071F" w:rsidRDefault="003E59B7" w:rsidP="00F35BF2">
            <w:pPr>
              <w:rPr>
                <w:rFonts w:ascii="Arial" w:hAnsi="Arial" w:cs="Arial"/>
                <w:sz w:val="20"/>
                <w:lang w:val="es-ES"/>
              </w:rPr>
            </w:pPr>
          </w:p>
        </w:tc>
        <w:tc>
          <w:tcPr>
            <w:tcW w:w="1208" w:type="dxa"/>
            <w:tcBorders>
              <w:top w:val="nil"/>
              <w:left w:val="nil"/>
              <w:bottom w:val="nil"/>
              <w:right w:val="nil"/>
            </w:tcBorders>
            <w:shd w:val="clear" w:color="auto" w:fill="auto"/>
            <w:noWrap/>
            <w:vAlign w:val="bottom"/>
            <w:hideMark/>
          </w:tcPr>
          <w:p w14:paraId="47D8C967" w14:textId="77777777" w:rsidR="003E59B7" w:rsidRPr="005A071F" w:rsidRDefault="003E59B7" w:rsidP="00F35BF2">
            <w:pPr>
              <w:rPr>
                <w:rFonts w:ascii="Arial" w:hAnsi="Arial" w:cs="Arial"/>
                <w:sz w:val="20"/>
                <w:lang w:val="es-ES"/>
              </w:rPr>
            </w:pPr>
          </w:p>
        </w:tc>
        <w:tc>
          <w:tcPr>
            <w:tcW w:w="828" w:type="dxa"/>
            <w:tcBorders>
              <w:top w:val="nil"/>
              <w:left w:val="nil"/>
              <w:bottom w:val="nil"/>
              <w:right w:val="nil"/>
            </w:tcBorders>
            <w:shd w:val="clear" w:color="auto" w:fill="auto"/>
            <w:noWrap/>
            <w:vAlign w:val="bottom"/>
            <w:hideMark/>
          </w:tcPr>
          <w:p w14:paraId="62B342A4" w14:textId="77777777" w:rsidR="003E59B7" w:rsidRPr="005A071F" w:rsidRDefault="003E59B7" w:rsidP="00F35BF2">
            <w:pPr>
              <w:rPr>
                <w:rFonts w:ascii="Arial" w:hAnsi="Arial" w:cs="Arial"/>
                <w:sz w:val="20"/>
                <w:lang w:val="es-ES"/>
              </w:rPr>
            </w:pPr>
          </w:p>
        </w:tc>
        <w:tc>
          <w:tcPr>
            <w:tcW w:w="168" w:type="dxa"/>
            <w:tcBorders>
              <w:top w:val="nil"/>
              <w:left w:val="nil"/>
              <w:bottom w:val="nil"/>
              <w:right w:val="nil"/>
            </w:tcBorders>
            <w:shd w:val="clear" w:color="auto" w:fill="auto"/>
            <w:noWrap/>
            <w:vAlign w:val="bottom"/>
            <w:hideMark/>
          </w:tcPr>
          <w:p w14:paraId="12107FB2" w14:textId="77777777" w:rsidR="003E59B7" w:rsidRPr="005A071F" w:rsidRDefault="003E59B7" w:rsidP="00F35BF2">
            <w:pPr>
              <w:rPr>
                <w:rFonts w:ascii="Arial" w:hAnsi="Arial" w:cs="Arial"/>
                <w:sz w:val="20"/>
                <w:lang w:val="es-ES"/>
              </w:rPr>
            </w:pPr>
          </w:p>
        </w:tc>
        <w:tc>
          <w:tcPr>
            <w:tcW w:w="1208" w:type="dxa"/>
            <w:tcBorders>
              <w:top w:val="nil"/>
              <w:left w:val="nil"/>
              <w:bottom w:val="nil"/>
              <w:right w:val="nil"/>
            </w:tcBorders>
            <w:shd w:val="clear" w:color="auto" w:fill="auto"/>
            <w:noWrap/>
            <w:vAlign w:val="bottom"/>
            <w:hideMark/>
          </w:tcPr>
          <w:p w14:paraId="1DFF9BA5" w14:textId="77777777" w:rsidR="003E59B7" w:rsidRPr="005A071F" w:rsidRDefault="003E59B7" w:rsidP="00F35BF2">
            <w:pPr>
              <w:rPr>
                <w:rFonts w:ascii="Arial" w:hAnsi="Arial" w:cs="Arial"/>
                <w:sz w:val="20"/>
                <w:lang w:val="es-ES"/>
              </w:rPr>
            </w:pPr>
          </w:p>
        </w:tc>
      </w:tr>
      <w:tr w:rsidR="003E59B7" w:rsidRPr="005A071F" w14:paraId="45143EF7" w14:textId="77777777" w:rsidTr="00F35BF2">
        <w:trPr>
          <w:trHeight w:val="300"/>
        </w:trPr>
        <w:tc>
          <w:tcPr>
            <w:tcW w:w="1888" w:type="dxa"/>
            <w:tcBorders>
              <w:top w:val="nil"/>
              <w:left w:val="nil"/>
              <w:bottom w:val="nil"/>
              <w:right w:val="nil"/>
            </w:tcBorders>
            <w:shd w:val="clear" w:color="auto" w:fill="auto"/>
            <w:noWrap/>
            <w:vAlign w:val="bottom"/>
            <w:hideMark/>
          </w:tcPr>
          <w:p w14:paraId="6F115A62" w14:textId="77777777" w:rsidR="003E59B7" w:rsidRPr="005A071F" w:rsidRDefault="003E59B7" w:rsidP="00F35BF2">
            <w:pPr>
              <w:rPr>
                <w:rFonts w:ascii="Arial" w:hAnsi="Arial" w:cs="Arial"/>
                <w:sz w:val="20"/>
                <w:lang w:val="es-ES"/>
              </w:rPr>
            </w:pPr>
          </w:p>
        </w:tc>
        <w:tc>
          <w:tcPr>
            <w:tcW w:w="944" w:type="dxa"/>
            <w:tcBorders>
              <w:top w:val="nil"/>
              <w:left w:val="nil"/>
              <w:bottom w:val="nil"/>
              <w:right w:val="nil"/>
            </w:tcBorders>
            <w:shd w:val="clear" w:color="auto" w:fill="auto"/>
            <w:noWrap/>
            <w:vAlign w:val="bottom"/>
            <w:hideMark/>
          </w:tcPr>
          <w:p w14:paraId="07C55D9D" w14:textId="77777777" w:rsidR="003E59B7" w:rsidRPr="005A071F" w:rsidRDefault="003E59B7" w:rsidP="00F35BF2">
            <w:pPr>
              <w:rPr>
                <w:rFonts w:ascii="Arial" w:hAnsi="Arial" w:cs="Arial"/>
                <w:sz w:val="20"/>
                <w:lang w:val="es-ES"/>
              </w:rPr>
            </w:pPr>
          </w:p>
        </w:tc>
        <w:tc>
          <w:tcPr>
            <w:tcW w:w="702" w:type="dxa"/>
            <w:tcBorders>
              <w:top w:val="nil"/>
              <w:left w:val="nil"/>
              <w:bottom w:val="nil"/>
              <w:right w:val="nil"/>
            </w:tcBorders>
            <w:shd w:val="clear" w:color="auto" w:fill="auto"/>
            <w:noWrap/>
            <w:vAlign w:val="bottom"/>
            <w:hideMark/>
          </w:tcPr>
          <w:p w14:paraId="39A4F4D3" w14:textId="77777777" w:rsidR="003E59B7" w:rsidRPr="005A071F" w:rsidRDefault="003E59B7" w:rsidP="00F35BF2">
            <w:pPr>
              <w:rPr>
                <w:rFonts w:ascii="Arial" w:hAnsi="Arial" w:cs="Arial"/>
                <w:sz w:val="20"/>
                <w:lang w:val="es-ES"/>
              </w:rPr>
            </w:pPr>
          </w:p>
        </w:tc>
        <w:tc>
          <w:tcPr>
            <w:tcW w:w="2746" w:type="dxa"/>
            <w:tcBorders>
              <w:top w:val="nil"/>
              <w:left w:val="nil"/>
              <w:bottom w:val="nil"/>
              <w:right w:val="nil"/>
            </w:tcBorders>
            <w:shd w:val="clear" w:color="auto" w:fill="auto"/>
            <w:noWrap/>
            <w:vAlign w:val="bottom"/>
            <w:hideMark/>
          </w:tcPr>
          <w:p w14:paraId="7C1D2A14" w14:textId="77777777" w:rsidR="003E59B7" w:rsidRDefault="003E59B7" w:rsidP="00F35BF2">
            <w:pPr>
              <w:rPr>
                <w:rFonts w:ascii="Arial" w:hAnsi="Arial" w:cs="Arial"/>
                <w:sz w:val="20"/>
                <w:lang w:val="es-ES"/>
              </w:rPr>
            </w:pPr>
          </w:p>
          <w:p w14:paraId="1DAE46DA" w14:textId="77777777" w:rsidR="00B04E15" w:rsidRDefault="00B04E15" w:rsidP="00F35BF2">
            <w:pPr>
              <w:rPr>
                <w:rFonts w:ascii="Arial" w:hAnsi="Arial" w:cs="Arial"/>
                <w:sz w:val="20"/>
                <w:lang w:val="es-ES"/>
              </w:rPr>
            </w:pPr>
          </w:p>
          <w:p w14:paraId="6CB33F21" w14:textId="77777777" w:rsidR="00B04E15" w:rsidRDefault="00B04E15" w:rsidP="00F35BF2">
            <w:pPr>
              <w:rPr>
                <w:rFonts w:ascii="Arial" w:hAnsi="Arial" w:cs="Arial"/>
                <w:sz w:val="20"/>
                <w:lang w:val="es-ES"/>
              </w:rPr>
            </w:pPr>
          </w:p>
          <w:p w14:paraId="49740E2B" w14:textId="77777777" w:rsidR="00B04E15" w:rsidRDefault="00B04E15" w:rsidP="00F35BF2">
            <w:pPr>
              <w:rPr>
                <w:rFonts w:ascii="Arial" w:hAnsi="Arial" w:cs="Arial"/>
                <w:sz w:val="20"/>
                <w:lang w:val="es-ES"/>
              </w:rPr>
            </w:pPr>
          </w:p>
          <w:p w14:paraId="0851239D" w14:textId="3389D318" w:rsidR="00B04E15" w:rsidRPr="005A071F" w:rsidRDefault="00B04E15" w:rsidP="00F35BF2">
            <w:pPr>
              <w:rPr>
                <w:rFonts w:ascii="Arial" w:hAnsi="Arial" w:cs="Arial"/>
                <w:sz w:val="20"/>
                <w:lang w:val="es-ES"/>
              </w:rPr>
            </w:pPr>
          </w:p>
        </w:tc>
        <w:tc>
          <w:tcPr>
            <w:tcW w:w="1208" w:type="dxa"/>
            <w:tcBorders>
              <w:top w:val="nil"/>
              <w:left w:val="nil"/>
              <w:bottom w:val="nil"/>
              <w:right w:val="nil"/>
            </w:tcBorders>
            <w:shd w:val="clear" w:color="auto" w:fill="auto"/>
            <w:noWrap/>
            <w:vAlign w:val="bottom"/>
            <w:hideMark/>
          </w:tcPr>
          <w:p w14:paraId="2BCFF329" w14:textId="77777777" w:rsidR="003E59B7" w:rsidRPr="005A071F" w:rsidRDefault="003E59B7" w:rsidP="00F35BF2">
            <w:pPr>
              <w:rPr>
                <w:rFonts w:ascii="Arial" w:hAnsi="Arial" w:cs="Arial"/>
                <w:sz w:val="20"/>
                <w:lang w:val="es-ES"/>
              </w:rPr>
            </w:pPr>
          </w:p>
        </w:tc>
        <w:tc>
          <w:tcPr>
            <w:tcW w:w="1208" w:type="dxa"/>
            <w:tcBorders>
              <w:top w:val="nil"/>
              <w:left w:val="nil"/>
              <w:bottom w:val="nil"/>
              <w:right w:val="nil"/>
            </w:tcBorders>
            <w:shd w:val="clear" w:color="auto" w:fill="auto"/>
            <w:noWrap/>
            <w:vAlign w:val="bottom"/>
            <w:hideMark/>
          </w:tcPr>
          <w:p w14:paraId="63B03D6A" w14:textId="77777777" w:rsidR="003E59B7" w:rsidRPr="005A071F" w:rsidRDefault="003E59B7" w:rsidP="00F35BF2">
            <w:pPr>
              <w:rPr>
                <w:rFonts w:ascii="Arial" w:hAnsi="Arial" w:cs="Arial"/>
                <w:sz w:val="20"/>
                <w:lang w:val="es-ES"/>
              </w:rPr>
            </w:pPr>
          </w:p>
        </w:tc>
        <w:tc>
          <w:tcPr>
            <w:tcW w:w="828" w:type="dxa"/>
            <w:tcBorders>
              <w:top w:val="nil"/>
              <w:left w:val="nil"/>
              <w:bottom w:val="nil"/>
              <w:right w:val="nil"/>
            </w:tcBorders>
            <w:shd w:val="clear" w:color="auto" w:fill="auto"/>
            <w:noWrap/>
            <w:vAlign w:val="bottom"/>
            <w:hideMark/>
          </w:tcPr>
          <w:p w14:paraId="7B30FD52" w14:textId="77777777" w:rsidR="003E59B7" w:rsidRPr="005A071F" w:rsidRDefault="003E59B7" w:rsidP="00F35BF2">
            <w:pPr>
              <w:rPr>
                <w:rFonts w:ascii="Arial" w:hAnsi="Arial" w:cs="Arial"/>
                <w:sz w:val="20"/>
                <w:lang w:val="es-ES"/>
              </w:rPr>
            </w:pPr>
          </w:p>
        </w:tc>
        <w:tc>
          <w:tcPr>
            <w:tcW w:w="168" w:type="dxa"/>
            <w:tcBorders>
              <w:top w:val="nil"/>
              <w:left w:val="nil"/>
              <w:bottom w:val="nil"/>
              <w:right w:val="nil"/>
            </w:tcBorders>
            <w:shd w:val="clear" w:color="auto" w:fill="auto"/>
            <w:noWrap/>
            <w:vAlign w:val="bottom"/>
            <w:hideMark/>
          </w:tcPr>
          <w:p w14:paraId="21732F9F" w14:textId="77777777" w:rsidR="003E59B7" w:rsidRPr="005A071F" w:rsidRDefault="003E59B7" w:rsidP="00F35BF2">
            <w:pPr>
              <w:rPr>
                <w:rFonts w:ascii="Arial" w:hAnsi="Arial" w:cs="Arial"/>
                <w:sz w:val="20"/>
                <w:lang w:val="es-ES"/>
              </w:rPr>
            </w:pPr>
          </w:p>
        </w:tc>
        <w:tc>
          <w:tcPr>
            <w:tcW w:w="1208" w:type="dxa"/>
            <w:tcBorders>
              <w:top w:val="nil"/>
              <w:left w:val="nil"/>
              <w:bottom w:val="nil"/>
              <w:right w:val="nil"/>
            </w:tcBorders>
            <w:shd w:val="clear" w:color="auto" w:fill="auto"/>
            <w:noWrap/>
            <w:vAlign w:val="bottom"/>
            <w:hideMark/>
          </w:tcPr>
          <w:p w14:paraId="5AF6B1EA" w14:textId="77777777" w:rsidR="003E59B7" w:rsidRPr="005A071F" w:rsidRDefault="003E59B7" w:rsidP="00F35BF2">
            <w:pPr>
              <w:rPr>
                <w:rFonts w:ascii="Arial" w:hAnsi="Arial" w:cs="Arial"/>
                <w:sz w:val="20"/>
                <w:lang w:val="es-ES"/>
              </w:rPr>
            </w:pPr>
          </w:p>
        </w:tc>
      </w:tr>
    </w:tbl>
    <w:p w14:paraId="34C06538" w14:textId="77777777" w:rsidR="003E59B7" w:rsidRDefault="003E59B7" w:rsidP="003E59B7">
      <w:pPr>
        <w:spacing w:line="276" w:lineRule="auto"/>
        <w:jc w:val="both"/>
        <w:rPr>
          <w:rFonts w:ascii="Arial" w:hAnsi="Arial" w:cs="Arial"/>
          <w:szCs w:val="22"/>
          <w:lang w:val="es-ES"/>
        </w:rPr>
      </w:pPr>
    </w:p>
    <w:p w14:paraId="53F7E6DD" w14:textId="77777777" w:rsidR="003E59B7" w:rsidRDefault="003E59B7" w:rsidP="003E59B7">
      <w:pPr>
        <w:spacing w:line="276" w:lineRule="auto"/>
        <w:ind w:left="567"/>
        <w:jc w:val="both"/>
        <w:rPr>
          <w:rFonts w:ascii="Arial" w:hAnsi="Arial" w:cs="Arial"/>
          <w:szCs w:val="22"/>
          <w:lang w:val="es-ES"/>
        </w:rPr>
      </w:pPr>
    </w:p>
    <w:tbl>
      <w:tblPr>
        <w:tblW w:w="10992" w:type="dxa"/>
        <w:tblCellMar>
          <w:left w:w="70" w:type="dxa"/>
          <w:right w:w="70" w:type="dxa"/>
        </w:tblCellMar>
        <w:tblLook w:val="04A0" w:firstRow="1" w:lastRow="0" w:firstColumn="1" w:lastColumn="0" w:noHBand="0" w:noVBand="1"/>
      </w:tblPr>
      <w:tblGrid>
        <w:gridCol w:w="1891"/>
        <w:gridCol w:w="945"/>
        <w:gridCol w:w="704"/>
        <w:gridCol w:w="2825"/>
        <w:gridCol w:w="1210"/>
        <w:gridCol w:w="1210"/>
        <w:gridCol w:w="829"/>
        <w:gridCol w:w="168"/>
        <w:gridCol w:w="1210"/>
      </w:tblGrid>
      <w:tr w:rsidR="003E59B7" w:rsidRPr="005A071F" w14:paraId="172032E9" w14:textId="77777777" w:rsidTr="00F35BF2">
        <w:trPr>
          <w:trHeight w:val="172"/>
        </w:trPr>
        <w:tc>
          <w:tcPr>
            <w:tcW w:w="3540" w:type="dxa"/>
            <w:gridSpan w:val="3"/>
            <w:tcBorders>
              <w:top w:val="single" w:sz="8" w:space="0" w:color="auto"/>
              <w:left w:val="single" w:sz="8" w:space="0" w:color="auto"/>
              <w:bottom w:val="single" w:sz="4" w:space="0" w:color="auto"/>
              <w:right w:val="single" w:sz="8" w:space="0" w:color="000000"/>
            </w:tcBorders>
            <w:shd w:val="clear" w:color="000000" w:fill="92D050"/>
            <w:vAlign w:val="bottom"/>
            <w:hideMark/>
          </w:tcPr>
          <w:p w14:paraId="68609E19" w14:textId="77777777" w:rsidR="003E59B7" w:rsidRPr="005A071F" w:rsidRDefault="003E59B7" w:rsidP="00F35BF2">
            <w:pPr>
              <w:jc w:val="center"/>
              <w:rPr>
                <w:rFonts w:ascii="Arial" w:hAnsi="Arial" w:cs="Arial"/>
                <w:b/>
                <w:bCs/>
                <w:sz w:val="24"/>
                <w:szCs w:val="24"/>
                <w:lang w:val="es-ES"/>
              </w:rPr>
            </w:pPr>
            <w:r w:rsidRPr="005A071F">
              <w:rPr>
                <w:rFonts w:ascii="Arial" w:hAnsi="Arial" w:cs="Arial"/>
                <w:b/>
                <w:bCs/>
                <w:sz w:val="24"/>
                <w:szCs w:val="24"/>
                <w:lang w:val="es-ES"/>
              </w:rPr>
              <w:lastRenderedPageBreak/>
              <w:t>Alta Régimen Agrario</w:t>
            </w:r>
            <w:r w:rsidRPr="005A071F">
              <w:rPr>
                <w:rFonts w:ascii="Arial" w:hAnsi="Arial" w:cs="Arial"/>
                <w:b/>
                <w:bCs/>
                <w:sz w:val="24"/>
                <w:szCs w:val="24"/>
                <w:lang w:val="es-ES"/>
              </w:rPr>
              <w:br/>
              <w:t>(No UE)</w:t>
            </w:r>
          </w:p>
        </w:tc>
        <w:tc>
          <w:tcPr>
            <w:tcW w:w="2825" w:type="dxa"/>
            <w:tcBorders>
              <w:top w:val="nil"/>
              <w:left w:val="nil"/>
              <w:bottom w:val="nil"/>
              <w:right w:val="nil"/>
            </w:tcBorders>
            <w:shd w:val="clear" w:color="auto" w:fill="auto"/>
            <w:noWrap/>
            <w:vAlign w:val="bottom"/>
            <w:hideMark/>
          </w:tcPr>
          <w:p w14:paraId="5D9E21E9" w14:textId="77777777" w:rsidR="003E59B7" w:rsidRPr="005A071F" w:rsidRDefault="003E59B7" w:rsidP="00F35BF2">
            <w:pPr>
              <w:rPr>
                <w:rFonts w:ascii="Calibri" w:hAnsi="Calibri"/>
                <w:color w:val="000000"/>
                <w:szCs w:val="22"/>
                <w:lang w:val="es-ES"/>
              </w:rPr>
            </w:pPr>
            <w:r w:rsidRPr="005A071F">
              <w:rPr>
                <w:rFonts w:ascii="Calibri" w:hAnsi="Calibri"/>
                <w:noProof/>
                <w:color w:val="000000"/>
                <w:szCs w:val="22"/>
                <w:lang w:val="es-ES"/>
              </w:rPr>
              <w:drawing>
                <wp:anchor distT="0" distB="0" distL="114300" distR="114300" simplePos="0" relativeHeight="251659264" behindDoc="0" locked="0" layoutInCell="1" allowOverlap="1" wp14:anchorId="5A90AFF4" wp14:editId="7BBB0232">
                  <wp:simplePos x="0" y="0"/>
                  <wp:positionH relativeFrom="column">
                    <wp:posOffset>635635</wp:posOffset>
                  </wp:positionH>
                  <wp:positionV relativeFrom="paragraph">
                    <wp:posOffset>-40005</wp:posOffset>
                  </wp:positionV>
                  <wp:extent cx="3133725" cy="2305050"/>
                  <wp:effectExtent l="0" t="0" r="9525" b="0"/>
                  <wp:wrapNone/>
                  <wp:docPr id="29" name="Gráfico 29">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684"/>
            </w:tblGrid>
            <w:tr w:rsidR="003E59B7" w:rsidRPr="005A071F" w14:paraId="749D1B1C" w14:textId="77777777" w:rsidTr="00F35BF2">
              <w:trPr>
                <w:trHeight w:val="172"/>
                <w:tblCellSpacing w:w="0" w:type="dxa"/>
              </w:trPr>
              <w:tc>
                <w:tcPr>
                  <w:tcW w:w="2684" w:type="dxa"/>
                  <w:tcBorders>
                    <w:top w:val="nil"/>
                    <w:left w:val="nil"/>
                    <w:bottom w:val="nil"/>
                    <w:right w:val="nil"/>
                  </w:tcBorders>
                  <w:shd w:val="clear" w:color="auto" w:fill="auto"/>
                  <w:noWrap/>
                  <w:vAlign w:val="bottom"/>
                  <w:hideMark/>
                </w:tcPr>
                <w:p w14:paraId="1687D904" w14:textId="77777777" w:rsidR="003E59B7" w:rsidRPr="005A071F" w:rsidRDefault="003E59B7" w:rsidP="00F35BF2">
                  <w:pPr>
                    <w:rPr>
                      <w:rFonts w:ascii="Calibri" w:hAnsi="Calibri"/>
                      <w:color w:val="000000"/>
                      <w:szCs w:val="22"/>
                      <w:lang w:val="es-ES"/>
                    </w:rPr>
                  </w:pPr>
                </w:p>
              </w:tc>
            </w:tr>
          </w:tbl>
          <w:p w14:paraId="4A25E4E7" w14:textId="77777777" w:rsidR="003E59B7" w:rsidRPr="005A071F" w:rsidRDefault="003E59B7" w:rsidP="00F35BF2">
            <w:pPr>
              <w:rPr>
                <w:rFonts w:ascii="Calibri" w:hAnsi="Calibri"/>
                <w:color w:val="000000"/>
                <w:szCs w:val="22"/>
                <w:lang w:val="es-ES"/>
              </w:rPr>
            </w:pPr>
            <w:r w:rsidRPr="005A071F">
              <w:rPr>
                <w:rFonts w:ascii="Calibri" w:hAnsi="Calibri"/>
                <w:noProof/>
                <w:color w:val="000000"/>
                <w:szCs w:val="22"/>
                <w:lang w:val="es-ES"/>
              </w:rPr>
              <mc:AlternateContent>
                <mc:Choice Requires="wps">
                  <w:drawing>
                    <wp:anchor distT="0" distB="0" distL="114300" distR="114300" simplePos="0" relativeHeight="251660288" behindDoc="0" locked="0" layoutInCell="1" allowOverlap="1" wp14:anchorId="50504135" wp14:editId="31E270A3">
                      <wp:simplePos x="0" y="0"/>
                      <wp:positionH relativeFrom="column">
                        <wp:posOffset>3102610</wp:posOffset>
                      </wp:positionH>
                      <wp:positionV relativeFrom="paragraph">
                        <wp:posOffset>1339850</wp:posOffset>
                      </wp:positionV>
                      <wp:extent cx="714375" cy="228600"/>
                      <wp:effectExtent l="0" t="0" r="0" b="0"/>
                      <wp:wrapNone/>
                      <wp:docPr id="28" name="Cuadro de texto 28">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microsoft.com/office/word/2010/wordprocessingShape">
                          <wps:wsp>
                            <wps:cNvSpPr txBox="1"/>
                            <wps:spPr>
                              <a:xfrm>
                                <a:off x="0" y="0"/>
                                <a:ext cx="714375" cy="2286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57EA762" w14:textId="77777777" w:rsidR="003E59B7" w:rsidRDefault="003E59B7" w:rsidP="003E59B7">
                                  <w:pPr>
                                    <w:rPr>
                                      <w:sz w:val="24"/>
                                      <w:szCs w:val="24"/>
                                    </w:rPr>
                                  </w:pPr>
                                  <w:r>
                                    <w:rPr>
                                      <w:rFonts w:asciiTheme="minorHAnsi" w:hAnsi="Calibri" w:cstheme="minorBidi"/>
                                      <w:b/>
                                      <w:bCs/>
                                      <w:color w:val="000000" w:themeColor="text1"/>
                                      <w:sz w:val="18"/>
                                      <w:szCs w:val="18"/>
                                    </w:rPr>
                                    <w:t>Mayo 2019</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50504135" id="Cuadro de texto 28" o:spid="_x0000_s1027" type="#_x0000_t202" style="position:absolute;margin-left:244.3pt;margin-top:105.5pt;width:56.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" filled="f" stroked="f">
                      <v:textbox>
                        <w:txbxContent>
                          <w:p w14:paraId="757EA762" w14:textId="77777777" w:rsidR="003E59B7" w:rsidRDefault="003E59B7" w:rsidP="003E59B7">
                            <w:pPr>
                              <w:rPr>
                                <w:sz w:val="24"/>
                                <w:szCs w:val="24"/>
                              </w:rPr>
                            </w:pPr>
                            <w:r>
                              <w:rPr>
                                <w:rFonts w:asciiTheme="minorHAnsi" w:hAnsi="Calibri" w:cstheme="minorBidi"/>
                                <w:b/>
                                <w:bCs/>
                                <w:color w:val="000000" w:themeColor="text1"/>
                                <w:sz w:val="18"/>
                                <w:szCs w:val="18"/>
                              </w:rPr>
                              <w:t>Mayo 2019</w:t>
                            </w:r>
                          </w:p>
                        </w:txbxContent>
                      </v:textbox>
                    </v:shape>
                  </w:pict>
                </mc:Fallback>
              </mc:AlternateContent>
            </w:r>
          </w:p>
        </w:tc>
        <w:tc>
          <w:tcPr>
            <w:tcW w:w="1210" w:type="dxa"/>
            <w:tcBorders>
              <w:top w:val="nil"/>
              <w:left w:val="nil"/>
              <w:bottom w:val="nil"/>
              <w:right w:val="nil"/>
            </w:tcBorders>
            <w:shd w:val="clear" w:color="auto" w:fill="auto"/>
            <w:noWrap/>
            <w:vAlign w:val="bottom"/>
            <w:hideMark/>
          </w:tcPr>
          <w:p w14:paraId="2ACB42C4" w14:textId="77777777" w:rsidR="003E59B7" w:rsidRPr="005A071F" w:rsidRDefault="003E59B7" w:rsidP="00F35BF2">
            <w:pPr>
              <w:rPr>
                <w:sz w:val="20"/>
                <w:lang w:val="es-ES"/>
              </w:rPr>
            </w:pPr>
          </w:p>
        </w:tc>
        <w:tc>
          <w:tcPr>
            <w:tcW w:w="1210" w:type="dxa"/>
            <w:tcBorders>
              <w:top w:val="nil"/>
              <w:left w:val="nil"/>
              <w:bottom w:val="nil"/>
              <w:right w:val="nil"/>
            </w:tcBorders>
            <w:shd w:val="clear" w:color="auto" w:fill="auto"/>
            <w:noWrap/>
            <w:vAlign w:val="bottom"/>
            <w:hideMark/>
          </w:tcPr>
          <w:p w14:paraId="52CD32AB" w14:textId="77777777" w:rsidR="003E59B7" w:rsidRPr="005A071F" w:rsidRDefault="003E59B7" w:rsidP="00F35BF2">
            <w:pPr>
              <w:rPr>
                <w:sz w:val="20"/>
                <w:lang w:val="es-ES"/>
              </w:rPr>
            </w:pPr>
          </w:p>
        </w:tc>
        <w:tc>
          <w:tcPr>
            <w:tcW w:w="829" w:type="dxa"/>
            <w:tcBorders>
              <w:top w:val="nil"/>
              <w:left w:val="nil"/>
              <w:bottom w:val="nil"/>
              <w:right w:val="nil"/>
            </w:tcBorders>
            <w:shd w:val="clear" w:color="auto" w:fill="auto"/>
            <w:noWrap/>
            <w:vAlign w:val="bottom"/>
            <w:hideMark/>
          </w:tcPr>
          <w:p w14:paraId="251D9F51" w14:textId="77777777" w:rsidR="003E59B7" w:rsidRPr="005A071F" w:rsidRDefault="003E59B7" w:rsidP="00F35BF2">
            <w:pPr>
              <w:rPr>
                <w:sz w:val="20"/>
                <w:lang w:val="es-ES"/>
              </w:rPr>
            </w:pPr>
          </w:p>
        </w:tc>
        <w:tc>
          <w:tcPr>
            <w:tcW w:w="168" w:type="dxa"/>
            <w:tcBorders>
              <w:top w:val="nil"/>
              <w:left w:val="nil"/>
              <w:bottom w:val="nil"/>
              <w:right w:val="nil"/>
            </w:tcBorders>
            <w:shd w:val="clear" w:color="auto" w:fill="auto"/>
            <w:noWrap/>
            <w:vAlign w:val="bottom"/>
            <w:hideMark/>
          </w:tcPr>
          <w:p w14:paraId="7C75AE0E" w14:textId="77777777" w:rsidR="003E59B7" w:rsidRPr="005A071F" w:rsidRDefault="003E59B7" w:rsidP="00F35BF2">
            <w:pPr>
              <w:rPr>
                <w:sz w:val="20"/>
                <w:lang w:val="es-ES"/>
              </w:rPr>
            </w:pPr>
          </w:p>
        </w:tc>
        <w:tc>
          <w:tcPr>
            <w:tcW w:w="1210" w:type="dxa"/>
            <w:tcBorders>
              <w:top w:val="nil"/>
              <w:left w:val="nil"/>
              <w:bottom w:val="nil"/>
              <w:right w:val="nil"/>
            </w:tcBorders>
            <w:shd w:val="clear" w:color="auto" w:fill="auto"/>
            <w:noWrap/>
            <w:vAlign w:val="bottom"/>
            <w:hideMark/>
          </w:tcPr>
          <w:p w14:paraId="49A341CD" w14:textId="77777777" w:rsidR="003E59B7" w:rsidRPr="005A071F" w:rsidRDefault="003E59B7" w:rsidP="00F35BF2">
            <w:pPr>
              <w:rPr>
                <w:sz w:val="20"/>
                <w:lang w:val="es-ES"/>
              </w:rPr>
            </w:pPr>
          </w:p>
        </w:tc>
      </w:tr>
      <w:tr w:rsidR="003E59B7" w:rsidRPr="005A071F" w14:paraId="78730D09" w14:textId="77777777" w:rsidTr="00F35BF2">
        <w:trPr>
          <w:trHeight w:val="484"/>
        </w:trPr>
        <w:tc>
          <w:tcPr>
            <w:tcW w:w="1891" w:type="dxa"/>
            <w:tcBorders>
              <w:top w:val="nil"/>
              <w:left w:val="single" w:sz="8" w:space="0" w:color="auto"/>
              <w:bottom w:val="single" w:sz="4" w:space="0" w:color="auto"/>
              <w:right w:val="single" w:sz="4" w:space="0" w:color="auto"/>
            </w:tcBorders>
            <w:shd w:val="clear" w:color="auto" w:fill="auto"/>
            <w:vAlign w:val="bottom"/>
            <w:hideMark/>
          </w:tcPr>
          <w:p w14:paraId="494DDB87" w14:textId="77777777" w:rsidR="003E59B7" w:rsidRPr="005A071F" w:rsidRDefault="003E59B7" w:rsidP="00F35BF2">
            <w:pPr>
              <w:rPr>
                <w:rFonts w:ascii="Arial" w:hAnsi="Arial" w:cs="Arial"/>
                <w:b/>
                <w:bCs/>
                <w:color w:val="000000"/>
                <w:szCs w:val="22"/>
                <w:lang w:val="es-ES"/>
              </w:rPr>
            </w:pPr>
            <w:r w:rsidRPr="005A071F">
              <w:rPr>
                <w:rFonts w:ascii="Arial" w:hAnsi="Arial" w:cs="Arial"/>
                <w:b/>
                <w:bCs/>
                <w:color w:val="000000"/>
                <w:szCs w:val="22"/>
                <w:lang w:val="es-ES"/>
              </w:rPr>
              <w:t>Marruecos</w:t>
            </w:r>
          </w:p>
        </w:tc>
        <w:tc>
          <w:tcPr>
            <w:tcW w:w="945" w:type="dxa"/>
            <w:tcBorders>
              <w:top w:val="nil"/>
              <w:left w:val="nil"/>
              <w:bottom w:val="single" w:sz="4" w:space="0" w:color="auto"/>
              <w:right w:val="single" w:sz="4" w:space="0" w:color="auto"/>
            </w:tcBorders>
            <w:shd w:val="clear" w:color="auto" w:fill="auto"/>
            <w:noWrap/>
            <w:vAlign w:val="bottom"/>
            <w:hideMark/>
          </w:tcPr>
          <w:p w14:paraId="4AEB9D70" w14:textId="77777777" w:rsidR="003E59B7" w:rsidRPr="005A071F" w:rsidRDefault="003E59B7" w:rsidP="00F35BF2">
            <w:pPr>
              <w:jc w:val="right"/>
              <w:rPr>
                <w:rFonts w:ascii="Arial" w:hAnsi="Arial" w:cs="Arial"/>
                <w:b/>
                <w:bCs/>
                <w:color w:val="000000"/>
                <w:szCs w:val="22"/>
                <w:lang w:val="es-ES"/>
              </w:rPr>
            </w:pPr>
            <w:r w:rsidRPr="005A071F">
              <w:rPr>
                <w:rFonts w:ascii="Arial" w:hAnsi="Arial" w:cs="Arial"/>
                <w:b/>
                <w:bCs/>
                <w:color w:val="000000"/>
                <w:szCs w:val="22"/>
                <w:lang w:val="es-ES"/>
              </w:rPr>
              <w:t>20.686</w:t>
            </w:r>
          </w:p>
        </w:tc>
        <w:tc>
          <w:tcPr>
            <w:tcW w:w="703" w:type="dxa"/>
            <w:tcBorders>
              <w:top w:val="nil"/>
              <w:left w:val="nil"/>
              <w:bottom w:val="single" w:sz="4" w:space="0" w:color="auto"/>
              <w:right w:val="single" w:sz="8" w:space="0" w:color="auto"/>
            </w:tcBorders>
            <w:shd w:val="clear" w:color="auto" w:fill="auto"/>
            <w:noWrap/>
            <w:vAlign w:val="bottom"/>
            <w:hideMark/>
          </w:tcPr>
          <w:p w14:paraId="4C03B1E5" w14:textId="77777777" w:rsidR="003E59B7" w:rsidRPr="005A071F" w:rsidRDefault="003E59B7" w:rsidP="00F35BF2">
            <w:pPr>
              <w:jc w:val="right"/>
              <w:rPr>
                <w:rFonts w:ascii="Arial" w:hAnsi="Arial" w:cs="Arial"/>
                <w:b/>
                <w:bCs/>
                <w:color w:val="000000"/>
                <w:szCs w:val="22"/>
                <w:lang w:val="es-ES"/>
              </w:rPr>
            </w:pPr>
            <w:r w:rsidRPr="005A071F">
              <w:rPr>
                <w:rFonts w:ascii="Arial" w:hAnsi="Arial" w:cs="Arial"/>
                <w:b/>
                <w:bCs/>
                <w:color w:val="000000"/>
                <w:szCs w:val="22"/>
                <w:lang w:val="es-ES"/>
              </w:rPr>
              <w:t>78%</w:t>
            </w:r>
          </w:p>
        </w:tc>
        <w:tc>
          <w:tcPr>
            <w:tcW w:w="2825" w:type="dxa"/>
            <w:tcBorders>
              <w:top w:val="nil"/>
              <w:left w:val="nil"/>
              <w:bottom w:val="nil"/>
              <w:right w:val="nil"/>
            </w:tcBorders>
            <w:shd w:val="clear" w:color="auto" w:fill="auto"/>
            <w:noWrap/>
            <w:vAlign w:val="bottom"/>
            <w:hideMark/>
          </w:tcPr>
          <w:p w14:paraId="44CC80B9" w14:textId="77777777" w:rsidR="003E59B7" w:rsidRPr="005A071F" w:rsidRDefault="003E59B7" w:rsidP="00F35BF2">
            <w:pPr>
              <w:jc w:val="right"/>
              <w:rPr>
                <w:rFonts w:ascii="Calibri" w:hAnsi="Calibri"/>
                <w:b/>
                <w:bCs/>
                <w:color w:val="000000"/>
                <w:sz w:val="28"/>
                <w:szCs w:val="28"/>
                <w:lang w:val="es-ES"/>
              </w:rPr>
            </w:pPr>
          </w:p>
        </w:tc>
        <w:tc>
          <w:tcPr>
            <w:tcW w:w="1210" w:type="dxa"/>
            <w:tcBorders>
              <w:top w:val="nil"/>
              <w:left w:val="nil"/>
              <w:bottom w:val="nil"/>
              <w:right w:val="nil"/>
            </w:tcBorders>
            <w:shd w:val="clear" w:color="auto" w:fill="auto"/>
            <w:noWrap/>
            <w:vAlign w:val="bottom"/>
            <w:hideMark/>
          </w:tcPr>
          <w:p w14:paraId="74730D93" w14:textId="77777777" w:rsidR="003E59B7" w:rsidRPr="005A071F" w:rsidRDefault="003E59B7" w:rsidP="00F35BF2">
            <w:pPr>
              <w:rPr>
                <w:sz w:val="20"/>
                <w:lang w:val="es-ES"/>
              </w:rPr>
            </w:pPr>
          </w:p>
        </w:tc>
        <w:tc>
          <w:tcPr>
            <w:tcW w:w="1210" w:type="dxa"/>
            <w:tcBorders>
              <w:top w:val="nil"/>
              <w:left w:val="nil"/>
              <w:bottom w:val="nil"/>
              <w:right w:val="nil"/>
            </w:tcBorders>
            <w:shd w:val="clear" w:color="auto" w:fill="auto"/>
            <w:noWrap/>
            <w:vAlign w:val="bottom"/>
            <w:hideMark/>
          </w:tcPr>
          <w:p w14:paraId="7CDCAE78" w14:textId="77777777" w:rsidR="003E59B7" w:rsidRPr="005A071F" w:rsidRDefault="003E59B7" w:rsidP="00F35BF2">
            <w:pPr>
              <w:rPr>
                <w:sz w:val="20"/>
                <w:lang w:val="es-ES"/>
              </w:rPr>
            </w:pPr>
          </w:p>
        </w:tc>
        <w:tc>
          <w:tcPr>
            <w:tcW w:w="829" w:type="dxa"/>
            <w:tcBorders>
              <w:top w:val="nil"/>
              <w:left w:val="nil"/>
              <w:bottom w:val="nil"/>
              <w:right w:val="nil"/>
            </w:tcBorders>
            <w:shd w:val="clear" w:color="auto" w:fill="auto"/>
            <w:noWrap/>
            <w:vAlign w:val="bottom"/>
            <w:hideMark/>
          </w:tcPr>
          <w:p w14:paraId="391E2B5A" w14:textId="77777777" w:rsidR="003E59B7" w:rsidRPr="005A071F" w:rsidRDefault="003E59B7" w:rsidP="00F35BF2">
            <w:pPr>
              <w:rPr>
                <w:sz w:val="20"/>
                <w:lang w:val="es-ES"/>
              </w:rPr>
            </w:pPr>
          </w:p>
        </w:tc>
        <w:tc>
          <w:tcPr>
            <w:tcW w:w="168" w:type="dxa"/>
            <w:tcBorders>
              <w:top w:val="nil"/>
              <w:left w:val="nil"/>
              <w:bottom w:val="nil"/>
              <w:right w:val="nil"/>
            </w:tcBorders>
            <w:shd w:val="clear" w:color="auto" w:fill="auto"/>
            <w:noWrap/>
            <w:vAlign w:val="bottom"/>
            <w:hideMark/>
          </w:tcPr>
          <w:p w14:paraId="5571FBFA" w14:textId="77777777" w:rsidR="003E59B7" w:rsidRPr="005A071F" w:rsidRDefault="003E59B7" w:rsidP="00F35BF2">
            <w:pPr>
              <w:rPr>
                <w:sz w:val="20"/>
                <w:lang w:val="es-ES"/>
              </w:rPr>
            </w:pPr>
          </w:p>
        </w:tc>
        <w:tc>
          <w:tcPr>
            <w:tcW w:w="1210" w:type="dxa"/>
            <w:tcBorders>
              <w:top w:val="nil"/>
              <w:left w:val="nil"/>
              <w:bottom w:val="nil"/>
              <w:right w:val="nil"/>
            </w:tcBorders>
            <w:shd w:val="clear" w:color="auto" w:fill="auto"/>
            <w:noWrap/>
            <w:vAlign w:val="bottom"/>
            <w:hideMark/>
          </w:tcPr>
          <w:p w14:paraId="10DC8F53" w14:textId="77777777" w:rsidR="003E59B7" w:rsidRPr="005A071F" w:rsidRDefault="003E59B7" w:rsidP="00F35BF2">
            <w:pPr>
              <w:rPr>
                <w:sz w:val="20"/>
                <w:lang w:val="es-ES"/>
              </w:rPr>
            </w:pPr>
          </w:p>
        </w:tc>
      </w:tr>
      <w:tr w:rsidR="003E59B7" w:rsidRPr="005A071F" w14:paraId="6B075D9A" w14:textId="77777777" w:rsidTr="00F35BF2">
        <w:trPr>
          <w:trHeight w:val="503"/>
        </w:trPr>
        <w:tc>
          <w:tcPr>
            <w:tcW w:w="1891" w:type="dxa"/>
            <w:tcBorders>
              <w:top w:val="nil"/>
              <w:left w:val="single" w:sz="8" w:space="0" w:color="auto"/>
              <w:bottom w:val="single" w:sz="4" w:space="0" w:color="auto"/>
              <w:right w:val="single" w:sz="4" w:space="0" w:color="auto"/>
            </w:tcBorders>
            <w:shd w:val="clear" w:color="auto" w:fill="auto"/>
            <w:vAlign w:val="bottom"/>
            <w:hideMark/>
          </w:tcPr>
          <w:p w14:paraId="70C800B6" w14:textId="77777777" w:rsidR="003E59B7" w:rsidRPr="005A071F" w:rsidRDefault="003E59B7" w:rsidP="00F35BF2">
            <w:pPr>
              <w:rPr>
                <w:rFonts w:ascii="Arial" w:hAnsi="Arial" w:cs="Arial"/>
                <w:b/>
                <w:bCs/>
                <w:color w:val="000000"/>
                <w:szCs w:val="22"/>
                <w:lang w:val="es-ES"/>
              </w:rPr>
            </w:pPr>
            <w:r w:rsidRPr="005A071F">
              <w:rPr>
                <w:rFonts w:ascii="Arial" w:hAnsi="Arial" w:cs="Arial"/>
                <w:b/>
                <w:bCs/>
                <w:color w:val="000000"/>
                <w:szCs w:val="22"/>
                <w:lang w:val="es-ES"/>
              </w:rPr>
              <w:t xml:space="preserve">Mali </w:t>
            </w:r>
          </w:p>
        </w:tc>
        <w:tc>
          <w:tcPr>
            <w:tcW w:w="945" w:type="dxa"/>
            <w:tcBorders>
              <w:top w:val="nil"/>
              <w:left w:val="nil"/>
              <w:bottom w:val="single" w:sz="4" w:space="0" w:color="auto"/>
              <w:right w:val="single" w:sz="4" w:space="0" w:color="auto"/>
            </w:tcBorders>
            <w:shd w:val="clear" w:color="auto" w:fill="auto"/>
            <w:noWrap/>
            <w:vAlign w:val="bottom"/>
            <w:hideMark/>
          </w:tcPr>
          <w:p w14:paraId="43D03C6E" w14:textId="77777777" w:rsidR="003E59B7" w:rsidRPr="005A071F" w:rsidRDefault="003E59B7" w:rsidP="00F35BF2">
            <w:pPr>
              <w:jc w:val="right"/>
              <w:rPr>
                <w:rFonts w:ascii="Arial" w:hAnsi="Arial" w:cs="Arial"/>
                <w:b/>
                <w:bCs/>
                <w:color w:val="000000"/>
                <w:szCs w:val="22"/>
                <w:lang w:val="es-ES"/>
              </w:rPr>
            </w:pPr>
            <w:r w:rsidRPr="005A071F">
              <w:rPr>
                <w:rFonts w:ascii="Arial" w:hAnsi="Arial" w:cs="Arial"/>
                <w:b/>
                <w:bCs/>
                <w:color w:val="000000"/>
                <w:szCs w:val="22"/>
                <w:lang w:val="es-ES"/>
              </w:rPr>
              <w:t>2.256</w:t>
            </w:r>
          </w:p>
        </w:tc>
        <w:tc>
          <w:tcPr>
            <w:tcW w:w="703" w:type="dxa"/>
            <w:tcBorders>
              <w:top w:val="nil"/>
              <w:left w:val="nil"/>
              <w:bottom w:val="single" w:sz="4" w:space="0" w:color="auto"/>
              <w:right w:val="single" w:sz="8" w:space="0" w:color="auto"/>
            </w:tcBorders>
            <w:shd w:val="clear" w:color="auto" w:fill="auto"/>
            <w:noWrap/>
            <w:vAlign w:val="bottom"/>
            <w:hideMark/>
          </w:tcPr>
          <w:p w14:paraId="26AB1A9C" w14:textId="77777777" w:rsidR="003E59B7" w:rsidRPr="005A071F" w:rsidRDefault="003E59B7" w:rsidP="00F35BF2">
            <w:pPr>
              <w:jc w:val="right"/>
              <w:rPr>
                <w:rFonts w:ascii="Arial" w:hAnsi="Arial" w:cs="Arial"/>
                <w:b/>
                <w:bCs/>
                <w:color w:val="000000"/>
                <w:szCs w:val="22"/>
                <w:lang w:val="es-ES"/>
              </w:rPr>
            </w:pPr>
            <w:r w:rsidRPr="005A071F">
              <w:rPr>
                <w:rFonts w:ascii="Arial" w:hAnsi="Arial" w:cs="Arial"/>
                <w:b/>
                <w:bCs/>
                <w:color w:val="000000"/>
                <w:szCs w:val="22"/>
                <w:lang w:val="es-ES"/>
              </w:rPr>
              <w:t>9%</w:t>
            </w:r>
          </w:p>
        </w:tc>
        <w:tc>
          <w:tcPr>
            <w:tcW w:w="2825" w:type="dxa"/>
            <w:tcBorders>
              <w:top w:val="nil"/>
              <w:left w:val="nil"/>
              <w:bottom w:val="nil"/>
              <w:right w:val="nil"/>
            </w:tcBorders>
            <w:shd w:val="clear" w:color="auto" w:fill="auto"/>
            <w:noWrap/>
            <w:vAlign w:val="bottom"/>
            <w:hideMark/>
          </w:tcPr>
          <w:p w14:paraId="0D289390" w14:textId="77777777" w:rsidR="003E59B7" w:rsidRPr="005A071F" w:rsidRDefault="003E59B7" w:rsidP="00F35BF2">
            <w:pPr>
              <w:jc w:val="right"/>
              <w:rPr>
                <w:rFonts w:ascii="Calibri" w:hAnsi="Calibri"/>
                <w:b/>
                <w:bCs/>
                <w:color w:val="000000"/>
                <w:sz w:val="28"/>
                <w:szCs w:val="28"/>
                <w:lang w:val="es-ES"/>
              </w:rPr>
            </w:pPr>
          </w:p>
        </w:tc>
        <w:tc>
          <w:tcPr>
            <w:tcW w:w="1210" w:type="dxa"/>
            <w:tcBorders>
              <w:top w:val="nil"/>
              <w:left w:val="nil"/>
              <w:bottom w:val="nil"/>
              <w:right w:val="nil"/>
            </w:tcBorders>
            <w:shd w:val="clear" w:color="auto" w:fill="auto"/>
            <w:noWrap/>
            <w:vAlign w:val="bottom"/>
            <w:hideMark/>
          </w:tcPr>
          <w:p w14:paraId="68B1BA53" w14:textId="77777777" w:rsidR="003E59B7" w:rsidRPr="005A071F" w:rsidRDefault="003E59B7" w:rsidP="00F35BF2">
            <w:pPr>
              <w:rPr>
                <w:sz w:val="20"/>
                <w:lang w:val="es-ES"/>
              </w:rPr>
            </w:pPr>
          </w:p>
        </w:tc>
        <w:tc>
          <w:tcPr>
            <w:tcW w:w="1210" w:type="dxa"/>
            <w:tcBorders>
              <w:top w:val="nil"/>
              <w:left w:val="nil"/>
              <w:bottom w:val="nil"/>
              <w:right w:val="nil"/>
            </w:tcBorders>
            <w:shd w:val="clear" w:color="auto" w:fill="auto"/>
            <w:noWrap/>
            <w:vAlign w:val="bottom"/>
            <w:hideMark/>
          </w:tcPr>
          <w:p w14:paraId="0545F924" w14:textId="77777777" w:rsidR="003E59B7" w:rsidRPr="005A071F" w:rsidRDefault="003E59B7" w:rsidP="00F35BF2">
            <w:pPr>
              <w:rPr>
                <w:sz w:val="20"/>
                <w:lang w:val="es-ES"/>
              </w:rPr>
            </w:pPr>
          </w:p>
        </w:tc>
        <w:tc>
          <w:tcPr>
            <w:tcW w:w="829" w:type="dxa"/>
            <w:tcBorders>
              <w:top w:val="nil"/>
              <w:left w:val="nil"/>
              <w:bottom w:val="nil"/>
              <w:right w:val="nil"/>
            </w:tcBorders>
            <w:shd w:val="clear" w:color="auto" w:fill="auto"/>
            <w:noWrap/>
            <w:vAlign w:val="bottom"/>
            <w:hideMark/>
          </w:tcPr>
          <w:p w14:paraId="68739EA3" w14:textId="77777777" w:rsidR="003E59B7" w:rsidRPr="005A071F" w:rsidRDefault="003E59B7" w:rsidP="00F35BF2">
            <w:pPr>
              <w:rPr>
                <w:sz w:val="20"/>
                <w:lang w:val="es-ES"/>
              </w:rPr>
            </w:pPr>
          </w:p>
        </w:tc>
        <w:tc>
          <w:tcPr>
            <w:tcW w:w="168" w:type="dxa"/>
            <w:tcBorders>
              <w:top w:val="nil"/>
              <w:left w:val="nil"/>
              <w:bottom w:val="nil"/>
              <w:right w:val="nil"/>
            </w:tcBorders>
            <w:shd w:val="clear" w:color="auto" w:fill="auto"/>
            <w:noWrap/>
            <w:vAlign w:val="bottom"/>
            <w:hideMark/>
          </w:tcPr>
          <w:p w14:paraId="3699B4C6" w14:textId="77777777" w:rsidR="003E59B7" w:rsidRPr="005A071F" w:rsidRDefault="003E59B7" w:rsidP="00F35BF2">
            <w:pPr>
              <w:rPr>
                <w:sz w:val="20"/>
                <w:lang w:val="es-ES"/>
              </w:rPr>
            </w:pPr>
          </w:p>
        </w:tc>
        <w:tc>
          <w:tcPr>
            <w:tcW w:w="1210" w:type="dxa"/>
            <w:tcBorders>
              <w:top w:val="nil"/>
              <w:left w:val="nil"/>
              <w:bottom w:val="nil"/>
              <w:right w:val="nil"/>
            </w:tcBorders>
            <w:shd w:val="clear" w:color="auto" w:fill="auto"/>
            <w:noWrap/>
            <w:vAlign w:val="bottom"/>
            <w:hideMark/>
          </w:tcPr>
          <w:p w14:paraId="41B8D670" w14:textId="77777777" w:rsidR="003E59B7" w:rsidRPr="005A071F" w:rsidRDefault="003E59B7" w:rsidP="00F35BF2">
            <w:pPr>
              <w:rPr>
                <w:sz w:val="20"/>
                <w:lang w:val="es-ES"/>
              </w:rPr>
            </w:pPr>
          </w:p>
        </w:tc>
      </w:tr>
      <w:tr w:rsidR="003E59B7" w:rsidRPr="005A071F" w14:paraId="33FC5DC4" w14:textId="77777777" w:rsidTr="00F35BF2">
        <w:trPr>
          <w:trHeight w:val="535"/>
        </w:trPr>
        <w:tc>
          <w:tcPr>
            <w:tcW w:w="1891" w:type="dxa"/>
            <w:tcBorders>
              <w:top w:val="nil"/>
              <w:left w:val="single" w:sz="8" w:space="0" w:color="auto"/>
              <w:bottom w:val="single" w:sz="4" w:space="0" w:color="auto"/>
              <w:right w:val="single" w:sz="4" w:space="0" w:color="auto"/>
            </w:tcBorders>
            <w:shd w:val="clear" w:color="auto" w:fill="auto"/>
            <w:vAlign w:val="bottom"/>
            <w:hideMark/>
          </w:tcPr>
          <w:p w14:paraId="149ED1C3" w14:textId="77777777" w:rsidR="003E59B7" w:rsidRPr="005A071F" w:rsidRDefault="003E59B7" w:rsidP="00F35BF2">
            <w:pPr>
              <w:rPr>
                <w:rFonts w:ascii="Arial" w:hAnsi="Arial" w:cs="Arial"/>
                <w:b/>
                <w:bCs/>
                <w:color w:val="000000"/>
                <w:szCs w:val="22"/>
                <w:lang w:val="es-ES"/>
              </w:rPr>
            </w:pPr>
            <w:r w:rsidRPr="005A071F">
              <w:rPr>
                <w:rFonts w:ascii="Arial" w:hAnsi="Arial" w:cs="Arial"/>
                <w:b/>
                <w:bCs/>
                <w:color w:val="000000"/>
                <w:szCs w:val="22"/>
                <w:lang w:val="es-ES"/>
              </w:rPr>
              <w:t xml:space="preserve">Otros </w:t>
            </w:r>
          </w:p>
        </w:tc>
        <w:tc>
          <w:tcPr>
            <w:tcW w:w="945" w:type="dxa"/>
            <w:tcBorders>
              <w:top w:val="nil"/>
              <w:left w:val="nil"/>
              <w:bottom w:val="single" w:sz="4" w:space="0" w:color="auto"/>
              <w:right w:val="single" w:sz="4" w:space="0" w:color="auto"/>
            </w:tcBorders>
            <w:shd w:val="clear" w:color="auto" w:fill="auto"/>
            <w:noWrap/>
            <w:vAlign w:val="bottom"/>
            <w:hideMark/>
          </w:tcPr>
          <w:p w14:paraId="2BE1E036" w14:textId="77777777" w:rsidR="003E59B7" w:rsidRPr="005A071F" w:rsidRDefault="003E59B7" w:rsidP="00F35BF2">
            <w:pPr>
              <w:jc w:val="right"/>
              <w:rPr>
                <w:rFonts w:ascii="Arial" w:hAnsi="Arial" w:cs="Arial"/>
                <w:b/>
                <w:bCs/>
                <w:color w:val="000000"/>
                <w:szCs w:val="22"/>
                <w:lang w:val="es-ES"/>
              </w:rPr>
            </w:pPr>
            <w:r w:rsidRPr="005A071F">
              <w:rPr>
                <w:rFonts w:ascii="Arial" w:hAnsi="Arial" w:cs="Arial"/>
                <w:b/>
                <w:bCs/>
                <w:color w:val="000000"/>
                <w:szCs w:val="22"/>
                <w:lang w:val="es-ES"/>
              </w:rPr>
              <w:t>3.476</w:t>
            </w:r>
          </w:p>
        </w:tc>
        <w:tc>
          <w:tcPr>
            <w:tcW w:w="703" w:type="dxa"/>
            <w:tcBorders>
              <w:top w:val="nil"/>
              <w:left w:val="nil"/>
              <w:bottom w:val="single" w:sz="4" w:space="0" w:color="auto"/>
              <w:right w:val="single" w:sz="8" w:space="0" w:color="auto"/>
            </w:tcBorders>
            <w:shd w:val="clear" w:color="auto" w:fill="auto"/>
            <w:noWrap/>
            <w:vAlign w:val="bottom"/>
            <w:hideMark/>
          </w:tcPr>
          <w:p w14:paraId="13633E34" w14:textId="77777777" w:rsidR="003E59B7" w:rsidRPr="005A071F" w:rsidRDefault="003E59B7" w:rsidP="00F35BF2">
            <w:pPr>
              <w:jc w:val="right"/>
              <w:rPr>
                <w:rFonts w:ascii="Arial" w:hAnsi="Arial" w:cs="Arial"/>
                <w:b/>
                <w:bCs/>
                <w:color w:val="000000"/>
                <w:szCs w:val="22"/>
                <w:lang w:val="es-ES"/>
              </w:rPr>
            </w:pPr>
            <w:r w:rsidRPr="005A071F">
              <w:rPr>
                <w:rFonts w:ascii="Arial" w:hAnsi="Arial" w:cs="Arial"/>
                <w:b/>
                <w:bCs/>
                <w:color w:val="000000"/>
                <w:szCs w:val="22"/>
                <w:lang w:val="es-ES"/>
              </w:rPr>
              <w:t>13%</w:t>
            </w:r>
          </w:p>
        </w:tc>
        <w:tc>
          <w:tcPr>
            <w:tcW w:w="2825" w:type="dxa"/>
            <w:tcBorders>
              <w:top w:val="nil"/>
              <w:left w:val="nil"/>
              <w:bottom w:val="nil"/>
              <w:right w:val="nil"/>
            </w:tcBorders>
            <w:shd w:val="clear" w:color="auto" w:fill="auto"/>
            <w:noWrap/>
            <w:vAlign w:val="bottom"/>
            <w:hideMark/>
          </w:tcPr>
          <w:p w14:paraId="61560869" w14:textId="77777777" w:rsidR="003E59B7" w:rsidRPr="005A071F" w:rsidRDefault="003E59B7" w:rsidP="00F35BF2">
            <w:pPr>
              <w:jc w:val="right"/>
              <w:rPr>
                <w:rFonts w:ascii="Calibri" w:hAnsi="Calibri"/>
                <w:b/>
                <w:bCs/>
                <w:color w:val="000000"/>
                <w:sz w:val="28"/>
                <w:szCs w:val="28"/>
                <w:lang w:val="es-ES"/>
              </w:rPr>
            </w:pPr>
          </w:p>
        </w:tc>
        <w:tc>
          <w:tcPr>
            <w:tcW w:w="1210" w:type="dxa"/>
            <w:tcBorders>
              <w:top w:val="nil"/>
              <w:left w:val="nil"/>
              <w:bottom w:val="nil"/>
              <w:right w:val="nil"/>
            </w:tcBorders>
            <w:shd w:val="clear" w:color="auto" w:fill="auto"/>
            <w:noWrap/>
            <w:vAlign w:val="bottom"/>
            <w:hideMark/>
          </w:tcPr>
          <w:p w14:paraId="3C8D94D6" w14:textId="77777777" w:rsidR="003E59B7" w:rsidRPr="005A071F" w:rsidRDefault="003E59B7" w:rsidP="00F35BF2">
            <w:pPr>
              <w:rPr>
                <w:sz w:val="20"/>
                <w:lang w:val="es-ES"/>
              </w:rPr>
            </w:pPr>
          </w:p>
        </w:tc>
        <w:tc>
          <w:tcPr>
            <w:tcW w:w="1210" w:type="dxa"/>
            <w:tcBorders>
              <w:top w:val="nil"/>
              <w:left w:val="nil"/>
              <w:bottom w:val="nil"/>
              <w:right w:val="nil"/>
            </w:tcBorders>
            <w:shd w:val="clear" w:color="auto" w:fill="auto"/>
            <w:noWrap/>
            <w:vAlign w:val="bottom"/>
            <w:hideMark/>
          </w:tcPr>
          <w:p w14:paraId="1E93B6C7" w14:textId="77777777" w:rsidR="003E59B7" w:rsidRPr="005A071F" w:rsidRDefault="003E59B7" w:rsidP="00F35BF2">
            <w:pPr>
              <w:rPr>
                <w:sz w:val="20"/>
                <w:lang w:val="es-ES"/>
              </w:rPr>
            </w:pPr>
          </w:p>
        </w:tc>
        <w:tc>
          <w:tcPr>
            <w:tcW w:w="829" w:type="dxa"/>
            <w:tcBorders>
              <w:top w:val="nil"/>
              <w:left w:val="nil"/>
              <w:bottom w:val="nil"/>
              <w:right w:val="nil"/>
            </w:tcBorders>
            <w:shd w:val="clear" w:color="auto" w:fill="auto"/>
            <w:noWrap/>
            <w:vAlign w:val="bottom"/>
            <w:hideMark/>
          </w:tcPr>
          <w:p w14:paraId="23D7AC63" w14:textId="77777777" w:rsidR="003E59B7" w:rsidRPr="005A071F" w:rsidRDefault="003E59B7" w:rsidP="00F35BF2">
            <w:pPr>
              <w:rPr>
                <w:sz w:val="20"/>
                <w:lang w:val="es-ES"/>
              </w:rPr>
            </w:pPr>
          </w:p>
        </w:tc>
        <w:tc>
          <w:tcPr>
            <w:tcW w:w="168" w:type="dxa"/>
            <w:tcBorders>
              <w:top w:val="nil"/>
              <w:left w:val="nil"/>
              <w:bottom w:val="nil"/>
              <w:right w:val="nil"/>
            </w:tcBorders>
            <w:shd w:val="clear" w:color="auto" w:fill="auto"/>
            <w:noWrap/>
            <w:vAlign w:val="bottom"/>
            <w:hideMark/>
          </w:tcPr>
          <w:p w14:paraId="23FD1F5E" w14:textId="77777777" w:rsidR="003E59B7" w:rsidRPr="005A071F" w:rsidRDefault="003E59B7" w:rsidP="00F35BF2">
            <w:pPr>
              <w:rPr>
                <w:sz w:val="20"/>
                <w:lang w:val="es-ES"/>
              </w:rPr>
            </w:pPr>
          </w:p>
        </w:tc>
        <w:tc>
          <w:tcPr>
            <w:tcW w:w="1210" w:type="dxa"/>
            <w:tcBorders>
              <w:top w:val="nil"/>
              <w:left w:val="nil"/>
              <w:bottom w:val="nil"/>
              <w:right w:val="nil"/>
            </w:tcBorders>
            <w:shd w:val="clear" w:color="auto" w:fill="auto"/>
            <w:noWrap/>
            <w:vAlign w:val="bottom"/>
            <w:hideMark/>
          </w:tcPr>
          <w:p w14:paraId="40A924FA" w14:textId="77777777" w:rsidR="003E59B7" w:rsidRPr="005A071F" w:rsidRDefault="003E59B7" w:rsidP="00F35BF2">
            <w:pPr>
              <w:rPr>
                <w:sz w:val="20"/>
                <w:lang w:val="es-ES"/>
              </w:rPr>
            </w:pPr>
          </w:p>
        </w:tc>
      </w:tr>
      <w:tr w:rsidR="003E59B7" w:rsidRPr="005A071F" w14:paraId="7A8667E3" w14:textId="77777777" w:rsidTr="00F35BF2">
        <w:trPr>
          <w:trHeight w:val="539"/>
        </w:trPr>
        <w:tc>
          <w:tcPr>
            <w:tcW w:w="1891" w:type="dxa"/>
            <w:tcBorders>
              <w:top w:val="nil"/>
              <w:left w:val="single" w:sz="8" w:space="0" w:color="auto"/>
              <w:bottom w:val="single" w:sz="8" w:space="0" w:color="auto"/>
              <w:right w:val="single" w:sz="4" w:space="0" w:color="auto"/>
            </w:tcBorders>
            <w:shd w:val="clear" w:color="auto" w:fill="DEEAF6" w:themeFill="accent5" w:themeFillTint="33"/>
            <w:noWrap/>
            <w:vAlign w:val="bottom"/>
            <w:hideMark/>
          </w:tcPr>
          <w:p w14:paraId="73A604F6" w14:textId="77777777" w:rsidR="003E59B7" w:rsidRPr="00DF70A8" w:rsidRDefault="003E59B7" w:rsidP="00F35BF2">
            <w:pPr>
              <w:rPr>
                <w:rFonts w:ascii="Arial" w:hAnsi="Arial" w:cs="Arial"/>
                <w:b/>
                <w:bCs/>
                <w:color w:val="000000"/>
                <w:sz w:val="32"/>
                <w:szCs w:val="32"/>
                <w:lang w:val="es-ES"/>
              </w:rPr>
            </w:pPr>
            <w:r w:rsidRPr="00DF70A8">
              <w:rPr>
                <w:rFonts w:ascii="Arial" w:hAnsi="Arial" w:cs="Arial"/>
                <w:b/>
                <w:bCs/>
                <w:color w:val="000000"/>
                <w:sz w:val="32"/>
                <w:szCs w:val="32"/>
                <w:lang w:val="es-ES"/>
              </w:rPr>
              <w:t>TOTAL</w:t>
            </w:r>
          </w:p>
        </w:tc>
        <w:tc>
          <w:tcPr>
            <w:tcW w:w="1648" w:type="dxa"/>
            <w:gridSpan w:val="2"/>
            <w:tcBorders>
              <w:top w:val="single" w:sz="4" w:space="0" w:color="auto"/>
              <w:left w:val="nil"/>
              <w:bottom w:val="single" w:sz="8" w:space="0" w:color="auto"/>
              <w:right w:val="single" w:sz="8" w:space="0" w:color="000000"/>
            </w:tcBorders>
            <w:shd w:val="clear" w:color="auto" w:fill="DEEAF6" w:themeFill="accent5" w:themeFillTint="33"/>
            <w:noWrap/>
            <w:vAlign w:val="bottom"/>
            <w:hideMark/>
          </w:tcPr>
          <w:p w14:paraId="43194CA0" w14:textId="77777777" w:rsidR="003E59B7" w:rsidRPr="00DF70A8" w:rsidRDefault="003E59B7" w:rsidP="00F35BF2">
            <w:pPr>
              <w:jc w:val="right"/>
              <w:rPr>
                <w:rFonts w:ascii="Arial" w:hAnsi="Arial" w:cs="Arial"/>
                <w:b/>
                <w:bCs/>
                <w:color w:val="000000"/>
                <w:sz w:val="32"/>
                <w:szCs w:val="32"/>
                <w:lang w:val="es-ES"/>
              </w:rPr>
            </w:pPr>
            <w:r w:rsidRPr="00DF70A8">
              <w:rPr>
                <w:rFonts w:ascii="Arial" w:hAnsi="Arial" w:cs="Arial"/>
                <w:b/>
                <w:bCs/>
                <w:color w:val="000000"/>
                <w:sz w:val="32"/>
                <w:szCs w:val="32"/>
                <w:lang w:val="es-ES"/>
              </w:rPr>
              <w:t>26.418</w:t>
            </w:r>
          </w:p>
        </w:tc>
        <w:tc>
          <w:tcPr>
            <w:tcW w:w="2825" w:type="dxa"/>
            <w:tcBorders>
              <w:top w:val="nil"/>
              <w:left w:val="nil"/>
              <w:bottom w:val="nil"/>
              <w:right w:val="nil"/>
            </w:tcBorders>
            <w:shd w:val="clear" w:color="auto" w:fill="FFFFFF" w:themeFill="background1"/>
            <w:noWrap/>
            <w:vAlign w:val="bottom"/>
            <w:hideMark/>
          </w:tcPr>
          <w:p w14:paraId="3C9D6852" w14:textId="77777777" w:rsidR="003E59B7" w:rsidRPr="00DF70A8" w:rsidRDefault="003E59B7" w:rsidP="00F35BF2">
            <w:pPr>
              <w:jc w:val="right"/>
              <w:rPr>
                <w:rFonts w:ascii="Calibri" w:hAnsi="Calibri"/>
                <w:b/>
                <w:bCs/>
                <w:color w:val="000000"/>
                <w:sz w:val="32"/>
                <w:szCs w:val="32"/>
                <w:lang w:val="es-ES"/>
              </w:rPr>
            </w:pPr>
          </w:p>
        </w:tc>
        <w:tc>
          <w:tcPr>
            <w:tcW w:w="1210" w:type="dxa"/>
            <w:tcBorders>
              <w:top w:val="nil"/>
              <w:left w:val="nil"/>
              <w:bottom w:val="nil"/>
              <w:right w:val="nil"/>
            </w:tcBorders>
            <w:shd w:val="clear" w:color="auto" w:fill="FFFFFF" w:themeFill="background1"/>
            <w:noWrap/>
            <w:vAlign w:val="bottom"/>
            <w:hideMark/>
          </w:tcPr>
          <w:p w14:paraId="7DB7F597" w14:textId="77777777" w:rsidR="003E59B7" w:rsidRPr="005A071F" w:rsidRDefault="003E59B7" w:rsidP="00F35BF2">
            <w:pPr>
              <w:rPr>
                <w:sz w:val="20"/>
                <w:lang w:val="es-ES"/>
              </w:rPr>
            </w:pPr>
          </w:p>
        </w:tc>
        <w:tc>
          <w:tcPr>
            <w:tcW w:w="1210" w:type="dxa"/>
            <w:tcBorders>
              <w:top w:val="nil"/>
              <w:left w:val="nil"/>
              <w:bottom w:val="nil"/>
              <w:right w:val="nil"/>
            </w:tcBorders>
            <w:shd w:val="clear" w:color="auto" w:fill="auto"/>
            <w:noWrap/>
            <w:vAlign w:val="bottom"/>
            <w:hideMark/>
          </w:tcPr>
          <w:p w14:paraId="15559FF6" w14:textId="77777777" w:rsidR="003E59B7" w:rsidRPr="005A071F" w:rsidRDefault="003E59B7" w:rsidP="00F35BF2">
            <w:pPr>
              <w:rPr>
                <w:sz w:val="20"/>
                <w:lang w:val="es-ES"/>
              </w:rPr>
            </w:pPr>
          </w:p>
        </w:tc>
        <w:tc>
          <w:tcPr>
            <w:tcW w:w="829" w:type="dxa"/>
            <w:tcBorders>
              <w:top w:val="nil"/>
              <w:left w:val="nil"/>
              <w:bottom w:val="nil"/>
              <w:right w:val="nil"/>
            </w:tcBorders>
            <w:shd w:val="clear" w:color="auto" w:fill="auto"/>
            <w:noWrap/>
            <w:vAlign w:val="bottom"/>
            <w:hideMark/>
          </w:tcPr>
          <w:p w14:paraId="10E66ED2" w14:textId="77777777" w:rsidR="003E59B7" w:rsidRPr="005A071F" w:rsidRDefault="003E59B7" w:rsidP="00F35BF2">
            <w:pPr>
              <w:rPr>
                <w:sz w:val="20"/>
                <w:lang w:val="es-ES"/>
              </w:rPr>
            </w:pPr>
          </w:p>
        </w:tc>
        <w:tc>
          <w:tcPr>
            <w:tcW w:w="168" w:type="dxa"/>
            <w:tcBorders>
              <w:top w:val="nil"/>
              <w:left w:val="nil"/>
              <w:bottom w:val="nil"/>
              <w:right w:val="nil"/>
            </w:tcBorders>
            <w:shd w:val="clear" w:color="auto" w:fill="auto"/>
            <w:noWrap/>
            <w:vAlign w:val="bottom"/>
            <w:hideMark/>
          </w:tcPr>
          <w:p w14:paraId="73362895" w14:textId="77777777" w:rsidR="003E59B7" w:rsidRPr="005A071F" w:rsidRDefault="003E59B7" w:rsidP="00F35BF2">
            <w:pPr>
              <w:rPr>
                <w:sz w:val="20"/>
                <w:lang w:val="es-ES"/>
              </w:rPr>
            </w:pPr>
          </w:p>
        </w:tc>
        <w:tc>
          <w:tcPr>
            <w:tcW w:w="1210" w:type="dxa"/>
            <w:tcBorders>
              <w:top w:val="nil"/>
              <w:left w:val="nil"/>
              <w:bottom w:val="nil"/>
              <w:right w:val="nil"/>
            </w:tcBorders>
            <w:shd w:val="clear" w:color="auto" w:fill="auto"/>
            <w:noWrap/>
            <w:vAlign w:val="bottom"/>
            <w:hideMark/>
          </w:tcPr>
          <w:p w14:paraId="7FBFC21A" w14:textId="77777777" w:rsidR="003E59B7" w:rsidRPr="005A071F" w:rsidRDefault="003E59B7" w:rsidP="00F35BF2">
            <w:pPr>
              <w:rPr>
                <w:sz w:val="20"/>
                <w:lang w:val="es-ES"/>
              </w:rPr>
            </w:pPr>
          </w:p>
        </w:tc>
      </w:tr>
      <w:tr w:rsidR="003E59B7" w:rsidRPr="005A071F" w14:paraId="33640906" w14:textId="77777777" w:rsidTr="00F35BF2">
        <w:trPr>
          <w:trHeight w:val="70"/>
        </w:trPr>
        <w:tc>
          <w:tcPr>
            <w:tcW w:w="1891" w:type="dxa"/>
            <w:tcBorders>
              <w:top w:val="nil"/>
              <w:left w:val="nil"/>
              <w:bottom w:val="nil"/>
              <w:right w:val="nil"/>
            </w:tcBorders>
            <w:shd w:val="clear" w:color="auto" w:fill="auto"/>
            <w:noWrap/>
            <w:vAlign w:val="bottom"/>
            <w:hideMark/>
          </w:tcPr>
          <w:p w14:paraId="114C66D4" w14:textId="77777777" w:rsidR="003E59B7" w:rsidRPr="005A071F" w:rsidRDefault="003E59B7" w:rsidP="00F35BF2">
            <w:pPr>
              <w:rPr>
                <w:sz w:val="20"/>
                <w:lang w:val="es-ES"/>
              </w:rPr>
            </w:pPr>
          </w:p>
        </w:tc>
        <w:tc>
          <w:tcPr>
            <w:tcW w:w="945" w:type="dxa"/>
            <w:tcBorders>
              <w:top w:val="nil"/>
              <w:left w:val="nil"/>
              <w:bottom w:val="nil"/>
              <w:right w:val="nil"/>
            </w:tcBorders>
            <w:shd w:val="clear" w:color="auto" w:fill="auto"/>
            <w:noWrap/>
            <w:vAlign w:val="bottom"/>
            <w:hideMark/>
          </w:tcPr>
          <w:p w14:paraId="3B119421" w14:textId="77777777" w:rsidR="003E59B7" w:rsidRPr="005A071F" w:rsidRDefault="003E59B7" w:rsidP="00F35BF2">
            <w:pPr>
              <w:rPr>
                <w:sz w:val="20"/>
                <w:lang w:val="es-ES"/>
              </w:rPr>
            </w:pPr>
          </w:p>
        </w:tc>
        <w:tc>
          <w:tcPr>
            <w:tcW w:w="703" w:type="dxa"/>
            <w:tcBorders>
              <w:top w:val="nil"/>
              <w:left w:val="nil"/>
              <w:bottom w:val="nil"/>
              <w:right w:val="nil"/>
            </w:tcBorders>
            <w:shd w:val="clear" w:color="auto" w:fill="auto"/>
            <w:noWrap/>
            <w:vAlign w:val="bottom"/>
            <w:hideMark/>
          </w:tcPr>
          <w:p w14:paraId="2C6C89E9" w14:textId="77777777" w:rsidR="003E59B7" w:rsidRPr="005A071F" w:rsidRDefault="003E59B7" w:rsidP="00F35BF2">
            <w:pPr>
              <w:rPr>
                <w:sz w:val="20"/>
                <w:lang w:val="es-ES"/>
              </w:rPr>
            </w:pPr>
          </w:p>
        </w:tc>
        <w:tc>
          <w:tcPr>
            <w:tcW w:w="2825" w:type="dxa"/>
            <w:tcBorders>
              <w:top w:val="nil"/>
              <w:left w:val="nil"/>
              <w:bottom w:val="nil"/>
              <w:right w:val="nil"/>
            </w:tcBorders>
            <w:shd w:val="clear" w:color="auto" w:fill="auto"/>
            <w:noWrap/>
            <w:vAlign w:val="bottom"/>
            <w:hideMark/>
          </w:tcPr>
          <w:p w14:paraId="5AF373E7" w14:textId="77777777" w:rsidR="003E59B7" w:rsidRPr="005A071F" w:rsidRDefault="003E59B7" w:rsidP="00F35BF2">
            <w:pPr>
              <w:rPr>
                <w:sz w:val="20"/>
                <w:lang w:val="es-ES"/>
              </w:rPr>
            </w:pPr>
          </w:p>
        </w:tc>
        <w:tc>
          <w:tcPr>
            <w:tcW w:w="1210" w:type="dxa"/>
            <w:tcBorders>
              <w:top w:val="nil"/>
              <w:left w:val="nil"/>
              <w:bottom w:val="nil"/>
              <w:right w:val="nil"/>
            </w:tcBorders>
            <w:shd w:val="clear" w:color="auto" w:fill="auto"/>
            <w:noWrap/>
            <w:vAlign w:val="bottom"/>
            <w:hideMark/>
          </w:tcPr>
          <w:p w14:paraId="48B250F7" w14:textId="77777777" w:rsidR="003E59B7" w:rsidRPr="005A071F" w:rsidRDefault="003E59B7" w:rsidP="00F35BF2">
            <w:pPr>
              <w:rPr>
                <w:sz w:val="20"/>
                <w:lang w:val="es-ES"/>
              </w:rPr>
            </w:pPr>
          </w:p>
        </w:tc>
        <w:tc>
          <w:tcPr>
            <w:tcW w:w="1210" w:type="dxa"/>
            <w:tcBorders>
              <w:top w:val="nil"/>
              <w:left w:val="nil"/>
              <w:bottom w:val="nil"/>
              <w:right w:val="nil"/>
            </w:tcBorders>
            <w:shd w:val="clear" w:color="auto" w:fill="auto"/>
            <w:noWrap/>
            <w:vAlign w:val="bottom"/>
            <w:hideMark/>
          </w:tcPr>
          <w:p w14:paraId="7BD8EAB8" w14:textId="77777777" w:rsidR="003E59B7" w:rsidRPr="005A071F" w:rsidRDefault="003E59B7" w:rsidP="00F35BF2">
            <w:pPr>
              <w:rPr>
                <w:sz w:val="20"/>
                <w:lang w:val="es-ES"/>
              </w:rPr>
            </w:pPr>
          </w:p>
        </w:tc>
        <w:tc>
          <w:tcPr>
            <w:tcW w:w="829" w:type="dxa"/>
            <w:tcBorders>
              <w:top w:val="nil"/>
              <w:left w:val="nil"/>
              <w:bottom w:val="nil"/>
              <w:right w:val="nil"/>
            </w:tcBorders>
            <w:shd w:val="clear" w:color="auto" w:fill="auto"/>
            <w:noWrap/>
            <w:vAlign w:val="bottom"/>
            <w:hideMark/>
          </w:tcPr>
          <w:p w14:paraId="4BB190A0" w14:textId="77777777" w:rsidR="003E59B7" w:rsidRPr="005A071F" w:rsidRDefault="003E59B7" w:rsidP="00F35BF2">
            <w:pPr>
              <w:rPr>
                <w:sz w:val="20"/>
                <w:lang w:val="es-ES"/>
              </w:rPr>
            </w:pPr>
          </w:p>
        </w:tc>
        <w:tc>
          <w:tcPr>
            <w:tcW w:w="168" w:type="dxa"/>
            <w:tcBorders>
              <w:top w:val="nil"/>
              <w:left w:val="nil"/>
              <w:bottom w:val="nil"/>
              <w:right w:val="nil"/>
            </w:tcBorders>
            <w:shd w:val="clear" w:color="auto" w:fill="auto"/>
            <w:noWrap/>
            <w:vAlign w:val="bottom"/>
            <w:hideMark/>
          </w:tcPr>
          <w:p w14:paraId="760626A9" w14:textId="77777777" w:rsidR="003E59B7" w:rsidRPr="005A071F" w:rsidRDefault="003E59B7" w:rsidP="00F35BF2">
            <w:pPr>
              <w:rPr>
                <w:sz w:val="20"/>
                <w:lang w:val="es-ES"/>
              </w:rPr>
            </w:pPr>
          </w:p>
        </w:tc>
        <w:tc>
          <w:tcPr>
            <w:tcW w:w="1210" w:type="dxa"/>
            <w:tcBorders>
              <w:top w:val="nil"/>
              <w:left w:val="nil"/>
              <w:bottom w:val="nil"/>
              <w:right w:val="nil"/>
            </w:tcBorders>
            <w:shd w:val="clear" w:color="auto" w:fill="auto"/>
            <w:noWrap/>
            <w:vAlign w:val="bottom"/>
            <w:hideMark/>
          </w:tcPr>
          <w:p w14:paraId="650607BF" w14:textId="77777777" w:rsidR="003E59B7" w:rsidRPr="005A071F" w:rsidRDefault="003E59B7" w:rsidP="00F35BF2">
            <w:pPr>
              <w:rPr>
                <w:sz w:val="20"/>
                <w:lang w:val="es-ES"/>
              </w:rPr>
            </w:pPr>
          </w:p>
        </w:tc>
      </w:tr>
      <w:tr w:rsidR="003E59B7" w:rsidRPr="005A071F" w14:paraId="1F637820" w14:textId="77777777" w:rsidTr="00F35BF2">
        <w:trPr>
          <w:trHeight w:val="70"/>
        </w:trPr>
        <w:tc>
          <w:tcPr>
            <w:tcW w:w="1891" w:type="dxa"/>
            <w:tcBorders>
              <w:top w:val="nil"/>
              <w:left w:val="nil"/>
              <w:bottom w:val="nil"/>
              <w:right w:val="nil"/>
            </w:tcBorders>
            <w:shd w:val="clear" w:color="auto" w:fill="auto"/>
            <w:noWrap/>
            <w:vAlign w:val="bottom"/>
            <w:hideMark/>
          </w:tcPr>
          <w:p w14:paraId="1FBAEE78" w14:textId="77777777" w:rsidR="003E59B7" w:rsidRPr="005A071F" w:rsidRDefault="003E59B7" w:rsidP="00F35BF2">
            <w:pPr>
              <w:rPr>
                <w:sz w:val="20"/>
                <w:lang w:val="es-ES"/>
              </w:rPr>
            </w:pPr>
          </w:p>
        </w:tc>
        <w:tc>
          <w:tcPr>
            <w:tcW w:w="945" w:type="dxa"/>
            <w:tcBorders>
              <w:top w:val="nil"/>
              <w:left w:val="nil"/>
              <w:bottom w:val="nil"/>
              <w:right w:val="nil"/>
            </w:tcBorders>
            <w:shd w:val="clear" w:color="auto" w:fill="auto"/>
            <w:noWrap/>
            <w:vAlign w:val="bottom"/>
            <w:hideMark/>
          </w:tcPr>
          <w:p w14:paraId="615B296A" w14:textId="77777777" w:rsidR="003E59B7" w:rsidRPr="005A071F" w:rsidRDefault="003E59B7" w:rsidP="00F35BF2">
            <w:pPr>
              <w:rPr>
                <w:sz w:val="20"/>
                <w:lang w:val="es-ES"/>
              </w:rPr>
            </w:pPr>
          </w:p>
        </w:tc>
        <w:tc>
          <w:tcPr>
            <w:tcW w:w="703" w:type="dxa"/>
            <w:tcBorders>
              <w:top w:val="nil"/>
              <w:left w:val="nil"/>
              <w:bottom w:val="nil"/>
              <w:right w:val="nil"/>
            </w:tcBorders>
            <w:shd w:val="clear" w:color="auto" w:fill="auto"/>
            <w:noWrap/>
            <w:vAlign w:val="bottom"/>
            <w:hideMark/>
          </w:tcPr>
          <w:p w14:paraId="0150ADB7" w14:textId="77777777" w:rsidR="003E59B7" w:rsidRPr="005A071F" w:rsidRDefault="003E59B7" w:rsidP="00F35BF2">
            <w:pPr>
              <w:rPr>
                <w:sz w:val="20"/>
                <w:lang w:val="es-ES"/>
              </w:rPr>
            </w:pPr>
          </w:p>
        </w:tc>
        <w:tc>
          <w:tcPr>
            <w:tcW w:w="2825" w:type="dxa"/>
            <w:tcBorders>
              <w:top w:val="nil"/>
              <w:left w:val="nil"/>
              <w:bottom w:val="nil"/>
              <w:right w:val="nil"/>
            </w:tcBorders>
            <w:shd w:val="clear" w:color="auto" w:fill="auto"/>
            <w:noWrap/>
            <w:vAlign w:val="bottom"/>
            <w:hideMark/>
          </w:tcPr>
          <w:p w14:paraId="0F24EFAB" w14:textId="77777777" w:rsidR="003E59B7" w:rsidRPr="005A071F" w:rsidRDefault="003E59B7" w:rsidP="00F35BF2">
            <w:pPr>
              <w:rPr>
                <w:sz w:val="20"/>
                <w:lang w:val="es-ES"/>
              </w:rPr>
            </w:pPr>
          </w:p>
        </w:tc>
        <w:tc>
          <w:tcPr>
            <w:tcW w:w="1210" w:type="dxa"/>
            <w:tcBorders>
              <w:top w:val="nil"/>
              <w:left w:val="nil"/>
              <w:bottom w:val="nil"/>
              <w:right w:val="nil"/>
            </w:tcBorders>
            <w:shd w:val="clear" w:color="auto" w:fill="auto"/>
            <w:noWrap/>
            <w:vAlign w:val="bottom"/>
            <w:hideMark/>
          </w:tcPr>
          <w:p w14:paraId="170B30B7" w14:textId="77777777" w:rsidR="003E59B7" w:rsidRPr="005A071F" w:rsidRDefault="003E59B7" w:rsidP="00F35BF2">
            <w:pPr>
              <w:rPr>
                <w:sz w:val="20"/>
                <w:lang w:val="es-ES"/>
              </w:rPr>
            </w:pPr>
          </w:p>
        </w:tc>
        <w:tc>
          <w:tcPr>
            <w:tcW w:w="1210" w:type="dxa"/>
            <w:tcBorders>
              <w:top w:val="nil"/>
              <w:left w:val="nil"/>
              <w:bottom w:val="nil"/>
              <w:right w:val="nil"/>
            </w:tcBorders>
            <w:shd w:val="clear" w:color="auto" w:fill="auto"/>
            <w:noWrap/>
            <w:vAlign w:val="bottom"/>
            <w:hideMark/>
          </w:tcPr>
          <w:p w14:paraId="2358A74C" w14:textId="77777777" w:rsidR="003E59B7" w:rsidRPr="005A071F" w:rsidRDefault="003E59B7" w:rsidP="00F35BF2">
            <w:pPr>
              <w:rPr>
                <w:sz w:val="20"/>
                <w:lang w:val="es-ES"/>
              </w:rPr>
            </w:pPr>
          </w:p>
        </w:tc>
        <w:tc>
          <w:tcPr>
            <w:tcW w:w="829" w:type="dxa"/>
            <w:tcBorders>
              <w:top w:val="nil"/>
              <w:left w:val="nil"/>
              <w:bottom w:val="nil"/>
              <w:right w:val="nil"/>
            </w:tcBorders>
            <w:shd w:val="clear" w:color="auto" w:fill="auto"/>
            <w:noWrap/>
            <w:vAlign w:val="bottom"/>
            <w:hideMark/>
          </w:tcPr>
          <w:p w14:paraId="1B16E365" w14:textId="77777777" w:rsidR="003E59B7" w:rsidRPr="005A071F" w:rsidRDefault="003E59B7" w:rsidP="00F35BF2">
            <w:pPr>
              <w:rPr>
                <w:sz w:val="20"/>
                <w:lang w:val="es-ES"/>
              </w:rPr>
            </w:pPr>
          </w:p>
        </w:tc>
        <w:tc>
          <w:tcPr>
            <w:tcW w:w="168" w:type="dxa"/>
            <w:tcBorders>
              <w:top w:val="nil"/>
              <w:left w:val="nil"/>
              <w:bottom w:val="nil"/>
              <w:right w:val="nil"/>
            </w:tcBorders>
            <w:shd w:val="clear" w:color="auto" w:fill="auto"/>
            <w:noWrap/>
            <w:vAlign w:val="bottom"/>
            <w:hideMark/>
          </w:tcPr>
          <w:p w14:paraId="581E4E2D" w14:textId="77777777" w:rsidR="003E59B7" w:rsidRPr="005A071F" w:rsidRDefault="003E59B7" w:rsidP="00F35BF2">
            <w:pPr>
              <w:rPr>
                <w:sz w:val="20"/>
                <w:lang w:val="es-ES"/>
              </w:rPr>
            </w:pPr>
          </w:p>
        </w:tc>
        <w:tc>
          <w:tcPr>
            <w:tcW w:w="1210" w:type="dxa"/>
            <w:tcBorders>
              <w:top w:val="nil"/>
              <w:left w:val="nil"/>
              <w:bottom w:val="nil"/>
              <w:right w:val="nil"/>
            </w:tcBorders>
            <w:shd w:val="clear" w:color="auto" w:fill="auto"/>
            <w:noWrap/>
            <w:vAlign w:val="bottom"/>
            <w:hideMark/>
          </w:tcPr>
          <w:p w14:paraId="1DAA0A8D" w14:textId="77777777" w:rsidR="003E59B7" w:rsidRPr="005A071F" w:rsidRDefault="003E59B7" w:rsidP="00F35BF2">
            <w:pPr>
              <w:rPr>
                <w:sz w:val="20"/>
                <w:lang w:val="es-ES"/>
              </w:rPr>
            </w:pPr>
          </w:p>
        </w:tc>
      </w:tr>
      <w:tr w:rsidR="003E59B7" w:rsidRPr="005A071F" w14:paraId="6C78E842" w14:textId="77777777" w:rsidTr="00F35BF2">
        <w:trPr>
          <w:trHeight w:val="70"/>
        </w:trPr>
        <w:tc>
          <w:tcPr>
            <w:tcW w:w="1891" w:type="dxa"/>
            <w:tcBorders>
              <w:top w:val="nil"/>
              <w:left w:val="nil"/>
              <w:bottom w:val="nil"/>
              <w:right w:val="nil"/>
            </w:tcBorders>
            <w:shd w:val="clear" w:color="auto" w:fill="auto"/>
            <w:noWrap/>
            <w:vAlign w:val="bottom"/>
            <w:hideMark/>
          </w:tcPr>
          <w:p w14:paraId="4604203E" w14:textId="77777777" w:rsidR="003E59B7" w:rsidRPr="005A071F" w:rsidRDefault="003E59B7" w:rsidP="00F35BF2">
            <w:pPr>
              <w:rPr>
                <w:sz w:val="20"/>
                <w:lang w:val="es-ES"/>
              </w:rPr>
            </w:pPr>
          </w:p>
        </w:tc>
        <w:tc>
          <w:tcPr>
            <w:tcW w:w="945" w:type="dxa"/>
            <w:tcBorders>
              <w:top w:val="nil"/>
              <w:left w:val="nil"/>
              <w:bottom w:val="nil"/>
              <w:right w:val="nil"/>
            </w:tcBorders>
            <w:shd w:val="clear" w:color="auto" w:fill="auto"/>
            <w:noWrap/>
            <w:vAlign w:val="bottom"/>
            <w:hideMark/>
          </w:tcPr>
          <w:p w14:paraId="2755C257" w14:textId="77777777" w:rsidR="003E59B7" w:rsidRPr="005A071F" w:rsidRDefault="003E59B7" w:rsidP="00F35BF2">
            <w:pPr>
              <w:rPr>
                <w:sz w:val="20"/>
                <w:lang w:val="es-ES"/>
              </w:rPr>
            </w:pPr>
          </w:p>
        </w:tc>
        <w:tc>
          <w:tcPr>
            <w:tcW w:w="703" w:type="dxa"/>
            <w:tcBorders>
              <w:top w:val="nil"/>
              <w:left w:val="nil"/>
              <w:bottom w:val="nil"/>
              <w:right w:val="nil"/>
            </w:tcBorders>
            <w:shd w:val="clear" w:color="auto" w:fill="auto"/>
            <w:noWrap/>
            <w:vAlign w:val="bottom"/>
            <w:hideMark/>
          </w:tcPr>
          <w:p w14:paraId="200D58F3" w14:textId="77777777" w:rsidR="003E59B7" w:rsidRPr="005A071F" w:rsidRDefault="003E59B7" w:rsidP="00F35BF2">
            <w:pPr>
              <w:rPr>
                <w:sz w:val="20"/>
                <w:lang w:val="es-ES"/>
              </w:rPr>
            </w:pPr>
          </w:p>
        </w:tc>
        <w:tc>
          <w:tcPr>
            <w:tcW w:w="2825" w:type="dxa"/>
            <w:tcBorders>
              <w:top w:val="nil"/>
              <w:left w:val="nil"/>
              <w:bottom w:val="nil"/>
              <w:right w:val="nil"/>
            </w:tcBorders>
            <w:shd w:val="clear" w:color="auto" w:fill="auto"/>
            <w:noWrap/>
            <w:vAlign w:val="bottom"/>
            <w:hideMark/>
          </w:tcPr>
          <w:p w14:paraId="3B1A37D9" w14:textId="77777777" w:rsidR="003E59B7" w:rsidRPr="005A071F" w:rsidRDefault="003E59B7" w:rsidP="00F35BF2">
            <w:pPr>
              <w:rPr>
                <w:sz w:val="20"/>
                <w:lang w:val="es-ES"/>
              </w:rPr>
            </w:pPr>
          </w:p>
        </w:tc>
        <w:tc>
          <w:tcPr>
            <w:tcW w:w="1210" w:type="dxa"/>
            <w:tcBorders>
              <w:top w:val="nil"/>
              <w:left w:val="nil"/>
              <w:bottom w:val="nil"/>
              <w:right w:val="nil"/>
            </w:tcBorders>
            <w:shd w:val="clear" w:color="auto" w:fill="auto"/>
            <w:noWrap/>
            <w:vAlign w:val="bottom"/>
            <w:hideMark/>
          </w:tcPr>
          <w:p w14:paraId="77DD43F0" w14:textId="77777777" w:rsidR="003E59B7" w:rsidRPr="005A071F" w:rsidRDefault="003E59B7" w:rsidP="00F35BF2">
            <w:pPr>
              <w:rPr>
                <w:sz w:val="20"/>
                <w:lang w:val="es-ES"/>
              </w:rPr>
            </w:pPr>
          </w:p>
        </w:tc>
        <w:tc>
          <w:tcPr>
            <w:tcW w:w="1210" w:type="dxa"/>
            <w:tcBorders>
              <w:top w:val="nil"/>
              <w:left w:val="nil"/>
              <w:bottom w:val="nil"/>
              <w:right w:val="nil"/>
            </w:tcBorders>
            <w:shd w:val="clear" w:color="auto" w:fill="auto"/>
            <w:noWrap/>
            <w:vAlign w:val="bottom"/>
            <w:hideMark/>
          </w:tcPr>
          <w:p w14:paraId="7E8452A8" w14:textId="77777777" w:rsidR="003E59B7" w:rsidRPr="005A071F" w:rsidRDefault="003E59B7" w:rsidP="00F35BF2">
            <w:pPr>
              <w:rPr>
                <w:sz w:val="20"/>
                <w:lang w:val="es-ES"/>
              </w:rPr>
            </w:pPr>
          </w:p>
        </w:tc>
        <w:tc>
          <w:tcPr>
            <w:tcW w:w="829" w:type="dxa"/>
            <w:tcBorders>
              <w:top w:val="nil"/>
              <w:left w:val="nil"/>
              <w:bottom w:val="nil"/>
              <w:right w:val="nil"/>
            </w:tcBorders>
            <w:shd w:val="clear" w:color="auto" w:fill="auto"/>
            <w:noWrap/>
            <w:vAlign w:val="bottom"/>
            <w:hideMark/>
          </w:tcPr>
          <w:p w14:paraId="3563FCA1" w14:textId="77777777" w:rsidR="003E59B7" w:rsidRPr="005A071F" w:rsidRDefault="003E59B7" w:rsidP="00F35BF2">
            <w:pPr>
              <w:rPr>
                <w:sz w:val="20"/>
                <w:lang w:val="es-ES"/>
              </w:rPr>
            </w:pPr>
          </w:p>
        </w:tc>
        <w:tc>
          <w:tcPr>
            <w:tcW w:w="168" w:type="dxa"/>
            <w:tcBorders>
              <w:top w:val="nil"/>
              <w:left w:val="nil"/>
              <w:bottom w:val="nil"/>
              <w:right w:val="nil"/>
            </w:tcBorders>
            <w:shd w:val="clear" w:color="auto" w:fill="auto"/>
            <w:noWrap/>
            <w:vAlign w:val="bottom"/>
            <w:hideMark/>
          </w:tcPr>
          <w:p w14:paraId="57DF813B" w14:textId="77777777" w:rsidR="003E59B7" w:rsidRPr="005A071F" w:rsidRDefault="003E59B7" w:rsidP="00F35BF2">
            <w:pPr>
              <w:rPr>
                <w:sz w:val="20"/>
                <w:lang w:val="es-ES"/>
              </w:rPr>
            </w:pPr>
          </w:p>
        </w:tc>
        <w:tc>
          <w:tcPr>
            <w:tcW w:w="1210" w:type="dxa"/>
            <w:tcBorders>
              <w:top w:val="nil"/>
              <w:left w:val="nil"/>
              <w:bottom w:val="nil"/>
              <w:right w:val="nil"/>
            </w:tcBorders>
            <w:shd w:val="clear" w:color="auto" w:fill="auto"/>
            <w:noWrap/>
            <w:vAlign w:val="bottom"/>
            <w:hideMark/>
          </w:tcPr>
          <w:p w14:paraId="346D9EFC" w14:textId="77777777" w:rsidR="003E59B7" w:rsidRPr="005A071F" w:rsidRDefault="003E59B7" w:rsidP="00F35BF2">
            <w:pPr>
              <w:rPr>
                <w:sz w:val="20"/>
                <w:lang w:val="es-ES"/>
              </w:rPr>
            </w:pPr>
          </w:p>
        </w:tc>
      </w:tr>
      <w:tr w:rsidR="003E59B7" w:rsidRPr="005A071F" w14:paraId="5CB87824" w14:textId="77777777" w:rsidTr="00F35BF2">
        <w:trPr>
          <w:trHeight w:val="70"/>
        </w:trPr>
        <w:tc>
          <w:tcPr>
            <w:tcW w:w="1891" w:type="dxa"/>
            <w:tcBorders>
              <w:top w:val="nil"/>
              <w:left w:val="nil"/>
              <w:bottom w:val="nil"/>
              <w:right w:val="nil"/>
            </w:tcBorders>
            <w:shd w:val="clear" w:color="auto" w:fill="auto"/>
            <w:noWrap/>
            <w:vAlign w:val="bottom"/>
            <w:hideMark/>
          </w:tcPr>
          <w:p w14:paraId="75732D73" w14:textId="77777777" w:rsidR="003E59B7" w:rsidRPr="005A071F" w:rsidRDefault="003E59B7" w:rsidP="00F35BF2">
            <w:pPr>
              <w:rPr>
                <w:sz w:val="20"/>
                <w:lang w:val="es-ES"/>
              </w:rPr>
            </w:pPr>
          </w:p>
        </w:tc>
        <w:tc>
          <w:tcPr>
            <w:tcW w:w="945" w:type="dxa"/>
            <w:tcBorders>
              <w:top w:val="nil"/>
              <w:left w:val="nil"/>
              <w:bottom w:val="nil"/>
              <w:right w:val="nil"/>
            </w:tcBorders>
            <w:shd w:val="clear" w:color="auto" w:fill="auto"/>
            <w:noWrap/>
            <w:vAlign w:val="bottom"/>
            <w:hideMark/>
          </w:tcPr>
          <w:p w14:paraId="5EA3902F" w14:textId="77777777" w:rsidR="003E59B7" w:rsidRPr="005A071F" w:rsidRDefault="003E59B7" w:rsidP="00F35BF2">
            <w:pPr>
              <w:rPr>
                <w:sz w:val="20"/>
                <w:lang w:val="es-ES"/>
              </w:rPr>
            </w:pPr>
          </w:p>
        </w:tc>
        <w:tc>
          <w:tcPr>
            <w:tcW w:w="703" w:type="dxa"/>
            <w:tcBorders>
              <w:top w:val="nil"/>
              <w:left w:val="nil"/>
              <w:bottom w:val="nil"/>
              <w:right w:val="nil"/>
            </w:tcBorders>
            <w:shd w:val="clear" w:color="auto" w:fill="auto"/>
            <w:noWrap/>
            <w:vAlign w:val="bottom"/>
            <w:hideMark/>
          </w:tcPr>
          <w:p w14:paraId="43DF3B35" w14:textId="77777777" w:rsidR="003E59B7" w:rsidRPr="005A071F" w:rsidRDefault="003E59B7" w:rsidP="00F35BF2">
            <w:pPr>
              <w:rPr>
                <w:sz w:val="20"/>
                <w:lang w:val="es-ES"/>
              </w:rPr>
            </w:pPr>
          </w:p>
        </w:tc>
        <w:tc>
          <w:tcPr>
            <w:tcW w:w="2825" w:type="dxa"/>
            <w:tcBorders>
              <w:top w:val="nil"/>
              <w:left w:val="nil"/>
              <w:bottom w:val="nil"/>
              <w:right w:val="nil"/>
            </w:tcBorders>
            <w:shd w:val="clear" w:color="auto" w:fill="auto"/>
            <w:noWrap/>
            <w:vAlign w:val="bottom"/>
            <w:hideMark/>
          </w:tcPr>
          <w:p w14:paraId="65EF3BD0" w14:textId="77777777" w:rsidR="003E59B7" w:rsidRPr="005A071F" w:rsidRDefault="003E59B7" w:rsidP="00F35BF2">
            <w:pPr>
              <w:rPr>
                <w:sz w:val="20"/>
                <w:lang w:val="es-ES"/>
              </w:rPr>
            </w:pPr>
          </w:p>
        </w:tc>
        <w:tc>
          <w:tcPr>
            <w:tcW w:w="1210" w:type="dxa"/>
            <w:tcBorders>
              <w:top w:val="nil"/>
              <w:left w:val="nil"/>
              <w:bottom w:val="nil"/>
              <w:right w:val="nil"/>
            </w:tcBorders>
            <w:shd w:val="clear" w:color="auto" w:fill="auto"/>
            <w:noWrap/>
            <w:vAlign w:val="bottom"/>
            <w:hideMark/>
          </w:tcPr>
          <w:p w14:paraId="25D6996B" w14:textId="77777777" w:rsidR="003E59B7" w:rsidRPr="005A071F" w:rsidRDefault="003E59B7" w:rsidP="00F35BF2">
            <w:pPr>
              <w:rPr>
                <w:sz w:val="20"/>
                <w:lang w:val="es-ES"/>
              </w:rPr>
            </w:pPr>
          </w:p>
        </w:tc>
        <w:tc>
          <w:tcPr>
            <w:tcW w:w="1210" w:type="dxa"/>
            <w:tcBorders>
              <w:top w:val="nil"/>
              <w:left w:val="nil"/>
              <w:bottom w:val="nil"/>
              <w:right w:val="nil"/>
            </w:tcBorders>
            <w:shd w:val="clear" w:color="auto" w:fill="auto"/>
            <w:noWrap/>
            <w:vAlign w:val="bottom"/>
            <w:hideMark/>
          </w:tcPr>
          <w:p w14:paraId="34C86534" w14:textId="77777777" w:rsidR="003E59B7" w:rsidRPr="005A071F" w:rsidRDefault="003E59B7" w:rsidP="00F35BF2">
            <w:pPr>
              <w:rPr>
                <w:sz w:val="20"/>
                <w:lang w:val="es-ES"/>
              </w:rPr>
            </w:pPr>
          </w:p>
        </w:tc>
        <w:tc>
          <w:tcPr>
            <w:tcW w:w="829" w:type="dxa"/>
            <w:tcBorders>
              <w:top w:val="nil"/>
              <w:left w:val="nil"/>
              <w:bottom w:val="nil"/>
              <w:right w:val="nil"/>
            </w:tcBorders>
            <w:shd w:val="clear" w:color="auto" w:fill="auto"/>
            <w:noWrap/>
            <w:vAlign w:val="bottom"/>
            <w:hideMark/>
          </w:tcPr>
          <w:p w14:paraId="06DF52BD" w14:textId="77777777" w:rsidR="003E59B7" w:rsidRPr="005A071F" w:rsidRDefault="003E59B7" w:rsidP="00F35BF2">
            <w:pPr>
              <w:rPr>
                <w:sz w:val="20"/>
                <w:lang w:val="es-ES"/>
              </w:rPr>
            </w:pPr>
          </w:p>
        </w:tc>
        <w:tc>
          <w:tcPr>
            <w:tcW w:w="168" w:type="dxa"/>
            <w:tcBorders>
              <w:top w:val="nil"/>
              <w:left w:val="nil"/>
              <w:bottom w:val="nil"/>
              <w:right w:val="nil"/>
            </w:tcBorders>
            <w:shd w:val="clear" w:color="auto" w:fill="auto"/>
            <w:noWrap/>
            <w:vAlign w:val="bottom"/>
            <w:hideMark/>
          </w:tcPr>
          <w:p w14:paraId="4075BDC7" w14:textId="77777777" w:rsidR="003E59B7" w:rsidRPr="005A071F" w:rsidRDefault="003E59B7" w:rsidP="00F35BF2">
            <w:pPr>
              <w:rPr>
                <w:sz w:val="20"/>
                <w:lang w:val="es-ES"/>
              </w:rPr>
            </w:pPr>
          </w:p>
        </w:tc>
        <w:tc>
          <w:tcPr>
            <w:tcW w:w="1210" w:type="dxa"/>
            <w:tcBorders>
              <w:top w:val="nil"/>
              <w:left w:val="nil"/>
              <w:bottom w:val="nil"/>
              <w:right w:val="nil"/>
            </w:tcBorders>
            <w:shd w:val="clear" w:color="auto" w:fill="auto"/>
            <w:noWrap/>
            <w:vAlign w:val="bottom"/>
            <w:hideMark/>
          </w:tcPr>
          <w:p w14:paraId="7FFE6011" w14:textId="77777777" w:rsidR="003E59B7" w:rsidRPr="005A071F" w:rsidRDefault="003E59B7" w:rsidP="00F35BF2">
            <w:pPr>
              <w:rPr>
                <w:sz w:val="20"/>
                <w:lang w:val="es-ES"/>
              </w:rPr>
            </w:pPr>
          </w:p>
        </w:tc>
      </w:tr>
      <w:tr w:rsidR="003E59B7" w:rsidRPr="005A071F" w14:paraId="34DE3EF5" w14:textId="77777777" w:rsidTr="00F35BF2">
        <w:trPr>
          <w:trHeight w:val="70"/>
        </w:trPr>
        <w:tc>
          <w:tcPr>
            <w:tcW w:w="1891" w:type="dxa"/>
            <w:tcBorders>
              <w:top w:val="nil"/>
              <w:left w:val="nil"/>
              <w:bottom w:val="nil"/>
              <w:right w:val="nil"/>
            </w:tcBorders>
            <w:shd w:val="clear" w:color="auto" w:fill="auto"/>
            <w:noWrap/>
            <w:vAlign w:val="bottom"/>
            <w:hideMark/>
          </w:tcPr>
          <w:p w14:paraId="2BE5E29C" w14:textId="77777777" w:rsidR="003E59B7" w:rsidRPr="005A071F" w:rsidRDefault="003E59B7" w:rsidP="00F35BF2">
            <w:pPr>
              <w:rPr>
                <w:sz w:val="20"/>
                <w:lang w:val="es-ES"/>
              </w:rPr>
            </w:pPr>
          </w:p>
        </w:tc>
        <w:tc>
          <w:tcPr>
            <w:tcW w:w="945" w:type="dxa"/>
            <w:tcBorders>
              <w:top w:val="nil"/>
              <w:left w:val="nil"/>
              <w:bottom w:val="nil"/>
              <w:right w:val="nil"/>
            </w:tcBorders>
            <w:shd w:val="clear" w:color="auto" w:fill="auto"/>
            <w:noWrap/>
            <w:vAlign w:val="bottom"/>
            <w:hideMark/>
          </w:tcPr>
          <w:p w14:paraId="2D3332DF" w14:textId="77777777" w:rsidR="003E59B7" w:rsidRPr="005A071F" w:rsidRDefault="003E59B7" w:rsidP="00F35BF2">
            <w:pPr>
              <w:rPr>
                <w:sz w:val="20"/>
                <w:lang w:val="es-ES"/>
              </w:rPr>
            </w:pPr>
          </w:p>
        </w:tc>
        <w:tc>
          <w:tcPr>
            <w:tcW w:w="703" w:type="dxa"/>
            <w:tcBorders>
              <w:top w:val="nil"/>
              <w:left w:val="nil"/>
              <w:bottom w:val="nil"/>
              <w:right w:val="nil"/>
            </w:tcBorders>
            <w:shd w:val="clear" w:color="auto" w:fill="auto"/>
            <w:noWrap/>
            <w:vAlign w:val="bottom"/>
            <w:hideMark/>
          </w:tcPr>
          <w:p w14:paraId="20335155" w14:textId="77777777" w:rsidR="003E59B7" w:rsidRPr="005A071F" w:rsidRDefault="003E59B7" w:rsidP="00F35BF2">
            <w:pPr>
              <w:rPr>
                <w:sz w:val="20"/>
                <w:lang w:val="es-ES"/>
              </w:rPr>
            </w:pPr>
          </w:p>
        </w:tc>
        <w:tc>
          <w:tcPr>
            <w:tcW w:w="2825" w:type="dxa"/>
            <w:tcBorders>
              <w:top w:val="nil"/>
              <w:left w:val="nil"/>
              <w:bottom w:val="nil"/>
              <w:right w:val="nil"/>
            </w:tcBorders>
            <w:shd w:val="clear" w:color="auto" w:fill="auto"/>
            <w:noWrap/>
            <w:vAlign w:val="bottom"/>
            <w:hideMark/>
          </w:tcPr>
          <w:p w14:paraId="6BC3E5D2" w14:textId="77777777" w:rsidR="003E59B7" w:rsidRPr="005A071F" w:rsidRDefault="003E59B7" w:rsidP="00F35BF2">
            <w:pPr>
              <w:rPr>
                <w:sz w:val="20"/>
                <w:lang w:val="es-ES"/>
              </w:rPr>
            </w:pPr>
          </w:p>
        </w:tc>
        <w:tc>
          <w:tcPr>
            <w:tcW w:w="1210" w:type="dxa"/>
            <w:tcBorders>
              <w:top w:val="nil"/>
              <w:left w:val="nil"/>
              <w:bottom w:val="nil"/>
              <w:right w:val="nil"/>
            </w:tcBorders>
            <w:shd w:val="clear" w:color="auto" w:fill="auto"/>
            <w:noWrap/>
            <w:vAlign w:val="bottom"/>
            <w:hideMark/>
          </w:tcPr>
          <w:p w14:paraId="55548F1E" w14:textId="77777777" w:rsidR="003E59B7" w:rsidRPr="005A071F" w:rsidRDefault="003E59B7" w:rsidP="00F35BF2">
            <w:pPr>
              <w:rPr>
                <w:sz w:val="20"/>
                <w:lang w:val="es-ES"/>
              </w:rPr>
            </w:pPr>
          </w:p>
        </w:tc>
        <w:tc>
          <w:tcPr>
            <w:tcW w:w="1210" w:type="dxa"/>
            <w:tcBorders>
              <w:top w:val="nil"/>
              <w:left w:val="nil"/>
              <w:bottom w:val="nil"/>
              <w:right w:val="nil"/>
            </w:tcBorders>
            <w:shd w:val="clear" w:color="auto" w:fill="auto"/>
            <w:noWrap/>
            <w:vAlign w:val="bottom"/>
            <w:hideMark/>
          </w:tcPr>
          <w:p w14:paraId="2803460B" w14:textId="77777777" w:rsidR="003E59B7" w:rsidRPr="005A071F" w:rsidRDefault="003E59B7" w:rsidP="00F35BF2">
            <w:pPr>
              <w:rPr>
                <w:sz w:val="20"/>
                <w:lang w:val="es-ES"/>
              </w:rPr>
            </w:pPr>
          </w:p>
        </w:tc>
        <w:tc>
          <w:tcPr>
            <w:tcW w:w="829" w:type="dxa"/>
            <w:tcBorders>
              <w:top w:val="nil"/>
              <w:left w:val="nil"/>
              <w:bottom w:val="nil"/>
              <w:right w:val="nil"/>
            </w:tcBorders>
            <w:shd w:val="clear" w:color="auto" w:fill="auto"/>
            <w:noWrap/>
            <w:vAlign w:val="bottom"/>
            <w:hideMark/>
          </w:tcPr>
          <w:p w14:paraId="20A2ED2A" w14:textId="77777777" w:rsidR="003E59B7" w:rsidRPr="005A071F" w:rsidRDefault="003E59B7" w:rsidP="00F35BF2">
            <w:pPr>
              <w:rPr>
                <w:sz w:val="20"/>
                <w:lang w:val="es-ES"/>
              </w:rPr>
            </w:pPr>
          </w:p>
        </w:tc>
        <w:tc>
          <w:tcPr>
            <w:tcW w:w="168" w:type="dxa"/>
            <w:tcBorders>
              <w:top w:val="nil"/>
              <w:left w:val="nil"/>
              <w:bottom w:val="nil"/>
              <w:right w:val="nil"/>
            </w:tcBorders>
            <w:shd w:val="clear" w:color="auto" w:fill="auto"/>
            <w:noWrap/>
            <w:vAlign w:val="bottom"/>
            <w:hideMark/>
          </w:tcPr>
          <w:p w14:paraId="25711D94" w14:textId="77777777" w:rsidR="003E59B7" w:rsidRPr="005A071F" w:rsidRDefault="003E59B7" w:rsidP="00F35BF2">
            <w:pPr>
              <w:rPr>
                <w:sz w:val="20"/>
                <w:lang w:val="es-ES"/>
              </w:rPr>
            </w:pPr>
          </w:p>
        </w:tc>
        <w:tc>
          <w:tcPr>
            <w:tcW w:w="1210" w:type="dxa"/>
            <w:tcBorders>
              <w:top w:val="nil"/>
              <w:left w:val="nil"/>
              <w:bottom w:val="nil"/>
              <w:right w:val="nil"/>
            </w:tcBorders>
            <w:shd w:val="clear" w:color="auto" w:fill="auto"/>
            <w:noWrap/>
            <w:vAlign w:val="bottom"/>
            <w:hideMark/>
          </w:tcPr>
          <w:p w14:paraId="7F888EE1" w14:textId="77777777" w:rsidR="003E59B7" w:rsidRPr="005A071F" w:rsidRDefault="003E59B7" w:rsidP="00F35BF2">
            <w:pPr>
              <w:rPr>
                <w:sz w:val="20"/>
                <w:lang w:val="es-ES"/>
              </w:rPr>
            </w:pPr>
          </w:p>
        </w:tc>
      </w:tr>
    </w:tbl>
    <w:p w14:paraId="4D22022A" w14:textId="77777777" w:rsidR="003E59B7" w:rsidRDefault="003E59B7" w:rsidP="003E59B7">
      <w:pPr>
        <w:spacing w:line="276" w:lineRule="auto"/>
        <w:jc w:val="both"/>
        <w:rPr>
          <w:rFonts w:ascii="Arial" w:hAnsi="Arial" w:cs="Arial"/>
          <w:szCs w:val="22"/>
          <w:lang w:val="es-ES"/>
        </w:rPr>
      </w:pPr>
    </w:p>
    <w:p w14:paraId="2CB9D1D6" w14:textId="77777777" w:rsidR="003E59B7" w:rsidRPr="00A14ACA" w:rsidRDefault="003E59B7" w:rsidP="003E59B7">
      <w:pPr>
        <w:spacing w:line="276" w:lineRule="auto"/>
        <w:ind w:left="567"/>
        <w:jc w:val="both"/>
        <w:rPr>
          <w:rFonts w:ascii="Arial" w:hAnsi="Arial" w:cs="Arial"/>
          <w:szCs w:val="22"/>
          <w:lang w:val="es-ES"/>
        </w:rPr>
      </w:pPr>
    </w:p>
    <w:p w14:paraId="6FB3CAA4" w14:textId="77777777" w:rsidR="003E59B7" w:rsidRPr="002B37BE" w:rsidRDefault="003E59B7" w:rsidP="003E59B7">
      <w:pPr>
        <w:pStyle w:val="Standard"/>
        <w:spacing w:line="276" w:lineRule="auto"/>
        <w:ind w:left="567"/>
        <w:jc w:val="both"/>
        <w:rPr>
          <w:rFonts w:ascii="Arial" w:hAnsi="Arial" w:cs="Arial"/>
        </w:rPr>
      </w:pPr>
    </w:p>
    <w:p w14:paraId="5F71F5DB" w14:textId="77777777" w:rsidR="003E59B7" w:rsidRPr="00A14ACA" w:rsidRDefault="003E59B7" w:rsidP="003E59B7">
      <w:pPr>
        <w:spacing w:after="120" w:line="276" w:lineRule="auto"/>
        <w:ind w:left="567"/>
        <w:jc w:val="both"/>
        <w:rPr>
          <w:rFonts w:ascii="Arial" w:hAnsi="Arial" w:cs="Arial"/>
          <w:b/>
          <w:i/>
          <w:szCs w:val="22"/>
          <w:lang w:val="es-ES"/>
        </w:rPr>
      </w:pPr>
      <w:r w:rsidRPr="00A14ACA">
        <w:rPr>
          <w:rFonts w:ascii="Arial" w:hAnsi="Arial" w:cs="Arial"/>
          <w:b/>
          <w:i/>
          <w:szCs w:val="22"/>
          <w:lang w:val="es-ES"/>
        </w:rPr>
        <w:t>2.3. Resultado Administrativo</w:t>
      </w:r>
      <w:r>
        <w:rPr>
          <w:rFonts w:ascii="Arial" w:hAnsi="Arial" w:cs="Arial"/>
          <w:b/>
          <w:i/>
          <w:szCs w:val="22"/>
          <w:lang w:val="es-ES"/>
        </w:rPr>
        <w:t>.</w:t>
      </w:r>
    </w:p>
    <w:p w14:paraId="31F1AB33" w14:textId="14A2B256" w:rsidR="003E59B7" w:rsidRPr="00A14ACA" w:rsidRDefault="003E59B7" w:rsidP="003E59B7">
      <w:pPr>
        <w:spacing w:line="276" w:lineRule="auto"/>
        <w:ind w:left="567"/>
        <w:jc w:val="both"/>
        <w:rPr>
          <w:rFonts w:ascii="Arial" w:hAnsi="Arial" w:cs="Arial"/>
          <w:szCs w:val="22"/>
          <w:lang w:val="es-ES"/>
        </w:rPr>
      </w:pPr>
      <w:r>
        <w:rPr>
          <w:rFonts w:ascii="Arial" w:hAnsi="Arial" w:cs="Arial"/>
          <w:szCs w:val="22"/>
          <w:lang w:val="es-ES"/>
        </w:rPr>
        <w:t xml:space="preserve">La gestión administrativa de la campaña </w:t>
      </w:r>
      <w:r w:rsidRPr="00A14ACA">
        <w:rPr>
          <w:rFonts w:ascii="Arial" w:hAnsi="Arial" w:cs="Arial"/>
          <w:szCs w:val="22"/>
          <w:lang w:val="es-ES"/>
        </w:rPr>
        <w:t xml:space="preserve">ha crecido en </w:t>
      </w:r>
      <w:r>
        <w:rPr>
          <w:rFonts w:ascii="Arial" w:hAnsi="Arial" w:cs="Arial"/>
          <w:szCs w:val="22"/>
          <w:lang w:val="es-ES"/>
        </w:rPr>
        <w:t xml:space="preserve">cifras y </w:t>
      </w:r>
      <w:r w:rsidRPr="00A14ACA">
        <w:rPr>
          <w:rFonts w:ascii="Arial" w:hAnsi="Arial" w:cs="Arial"/>
          <w:szCs w:val="22"/>
          <w:lang w:val="es-ES"/>
        </w:rPr>
        <w:t>complejidad</w:t>
      </w:r>
      <w:r>
        <w:rPr>
          <w:rFonts w:ascii="Arial" w:hAnsi="Arial" w:cs="Arial"/>
          <w:szCs w:val="22"/>
          <w:lang w:val="es-ES"/>
        </w:rPr>
        <w:t xml:space="preserve">. Existe una </w:t>
      </w:r>
      <w:r w:rsidRPr="00A14ACA">
        <w:rPr>
          <w:rFonts w:ascii="Arial" w:hAnsi="Arial" w:cs="Arial"/>
          <w:szCs w:val="22"/>
          <w:lang w:val="es-ES"/>
        </w:rPr>
        <w:t xml:space="preserve">participación de </w:t>
      </w:r>
      <w:r>
        <w:rPr>
          <w:rFonts w:ascii="Arial" w:hAnsi="Arial" w:cs="Arial"/>
          <w:szCs w:val="22"/>
          <w:lang w:val="es-ES"/>
        </w:rPr>
        <w:t xml:space="preserve">instituciones y agentes </w:t>
      </w:r>
      <w:r w:rsidRPr="00A14ACA">
        <w:rPr>
          <w:rFonts w:ascii="Arial" w:hAnsi="Arial" w:cs="Arial"/>
          <w:szCs w:val="22"/>
          <w:lang w:val="es-ES"/>
        </w:rPr>
        <w:t>en el procedimiento</w:t>
      </w:r>
      <w:r>
        <w:rPr>
          <w:rFonts w:ascii="Arial" w:hAnsi="Arial" w:cs="Arial"/>
          <w:szCs w:val="22"/>
          <w:lang w:val="es-ES"/>
        </w:rPr>
        <w:t xml:space="preserve"> imprescindible y extensa. Durante el desarrollo de la campaña </w:t>
      </w:r>
      <w:r w:rsidRPr="00A14ACA">
        <w:rPr>
          <w:rFonts w:ascii="Arial" w:hAnsi="Arial" w:cs="Arial"/>
          <w:szCs w:val="22"/>
          <w:lang w:val="es-ES"/>
        </w:rPr>
        <w:t>se han debido superar diferentes obstáculos</w:t>
      </w:r>
      <w:r>
        <w:rPr>
          <w:rFonts w:ascii="Arial" w:hAnsi="Arial" w:cs="Arial"/>
          <w:szCs w:val="22"/>
          <w:lang w:val="es-ES"/>
        </w:rPr>
        <w:t>.</w:t>
      </w:r>
      <w:r w:rsidR="00E14380">
        <w:rPr>
          <w:rFonts w:ascii="Arial" w:hAnsi="Arial" w:cs="Arial"/>
          <w:szCs w:val="22"/>
          <w:lang w:val="es-ES"/>
        </w:rPr>
        <w:t xml:space="preserve"> No obstante, se está trabajando para introducir mejoras tecnológicas y en refuerzos de personal en las diferentes áreas de la Administración.</w:t>
      </w:r>
    </w:p>
    <w:p w14:paraId="1F4198CC" w14:textId="6BA9708D" w:rsidR="003E59B7" w:rsidRDefault="003E59B7" w:rsidP="003E59B7">
      <w:pPr>
        <w:spacing w:after="120" w:line="276" w:lineRule="auto"/>
        <w:jc w:val="both"/>
        <w:rPr>
          <w:rFonts w:ascii="Arial" w:hAnsi="Arial" w:cs="Arial"/>
          <w:szCs w:val="22"/>
          <w:lang w:val="es-ES"/>
        </w:rPr>
      </w:pPr>
    </w:p>
    <w:p w14:paraId="5E4FBA1F" w14:textId="33A41C7E" w:rsidR="00A70898" w:rsidRDefault="00A70898" w:rsidP="003E59B7">
      <w:pPr>
        <w:spacing w:after="120" w:line="276" w:lineRule="auto"/>
        <w:jc w:val="both"/>
        <w:rPr>
          <w:rFonts w:ascii="Arial" w:hAnsi="Arial" w:cs="Arial"/>
          <w:szCs w:val="22"/>
          <w:lang w:val="es-ES"/>
        </w:rPr>
      </w:pPr>
    </w:p>
    <w:p w14:paraId="39E5D076" w14:textId="407B0BAB" w:rsidR="00A70898" w:rsidRDefault="00A70898" w:rsidP="003E59B7">
      <w:pPr>
        <w:spacing w:after="120" w:line="276" w:lineRule="auto"/>
        <w:jc w:val="both"/>
        <w:rPr>
          <w:rFonts w:ascii="Arial" w:hAnsi="Arial" w:cs="Arial"/>
          <w:szCs w:val="22"/>
          <w:lang w:val="es-ES"/>
        </w:rPr>
      </w:pPr>
    </w:p>
    <w:p w14:paraId="328F98B6" w14:textId="729507E6" w:rsidR="003E59B7" w:rsidRDefault="003E59B7" w:rsidP="00A70898">
      <w:pPr>
        <w:spacing w:after="120" w:line="276" w:lineRule="auto"/>
        <w:jc w:val="both"/>
        <w:rPr>
          <w:rFonts w:ascii="Arial" w:hAnsi="Arial" w:cs="Arial"/>
          <w:szCs w:val="22"/>
          <w:lang w:val="es-ES"/>
        </w:rPr>
        <w:sectPr w:rsidR="003E59B7" w:rsidSect="00863B48">
          <w:headerReference w:type="default" r:id="rId11"/>
          <w:footerReference w:type="default" r:id="rId12"/>
          <w:headerReference w:type="first" r:id="rId13"/>
          <w:footerReference w:type="first" r:id="rId14"/>
          <w:pgSz w:w="11906" w:h="16838" w:code="9"/>
          <w:pgMar w:top="1985" w:right="1416" w:bottom="1701" w:left="1134" w:header="567" w:footer="397" w:gutter="0"/>
          <w:cols w:space="720"/>
          <w:titlePg/>
          <w:docGrid w:linePitch="299"/>
        </w:sectPr>
      </w:pPr>
    </w:p>
    <w:p w14:paraId="49E24659" w14:textId="77777777" w:rsidR="003E59B7" w:rsidRPr="00A14ACA" w:rsidRDefault="003E59B7" w:rsidP="003E59B7">
      <w:pPr>
        <w:spacing w:after="120" w:line="276" w:lineRule="auto"/>
        <w:ind w:left="567"/>
        <w:jc w:val="both"/>
        <w:rPr>
          <w:rFonts w:ascii="Arial" w:hAnsi="Arial" w:cs="Arial"/>
          <w:b/>
          <w:i/>
          <w:szCs w:val="22"/>
          <w:lang w:val="es-ES"/>
        </w:rPr>
      </w:pPr>
      <w:r w:rsidRPr="00A14ACA">
        <w:rPr>
          <w:rFonts w:ascii="Arial" w:hAnsi="Arial" w:cs="Arial"/>
          <w:b/>
          <w:i/>
          <w:szCs w:val="22"/>
          <w:lang w:val="es-ES"/>
        </w:rPr>
        <w:lastRenderedPageBreak/>
        <w:t xml:space="preserve">2.3.1. Datos resumen campaña: </w:t>
      </w:r>
    </w:p>
    <w:p w14:paraId="08B1A212" w14:textId="2F3A6768" w:rsidR="003E59B7" w:rsidRDefault="002F5752" w:rsidP="003E59B7">
      <w:pPr>
        <w:ind w:left="567"/>
        <w:rPr>
          <w:rFonts w:ascii="Arial" w:hAnsi="Arial" w:cs="Arial"/>
          <w:szCs w:val="22"/>
          <w:lang w:val="es-ES"/>
        </w:rPr>
        <w:sectPr w:rsidR="003E59B7" w:rsidSect="006B5DBD">
          <w:headerReference w:type="default" r:id="rId15"/>
          <w:footerReference w:type="default" r:id="rId16"/>
          <w:headerReference w:type="first" r:id="rId17"/>
          <w:footerReference w:type="first" r:id="rId18"/>
          <w:pgSz w:w="16838" w:h="11906" w:orient="landscape" w:code="9"/>
          <w:pgMar w:top="1134" w:right="1985" w:bottom="1416" w:left="1701" w:header="567" w:footer="397" w:gutter="0"/>
          <w:cols w:space="720"/>
          <w:titlePg/>
          <w:docGrid w:linePitch="299"/>
        </w:sectPr>
      </w:pPr>
      <w:r w:rsidRPr="002F5752">
        <w:rPr>
          <w:noProof/>
        </w:rPr>
        <w:drawing>
          <wp:inline distT="0" distB="0" distL="0" distR="0" wp14:anchorId="07A95DDF" wp14:editId="1DD53C0C">
            <wp:extent cx="8351520" cy="4133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51520" cy="4133850"/>
                    </a:xfrm>
                    <a:prstGeom prst="rect">
                      <a:avLst/>
                    </a:prstGeom>
                    <a:noFill/>
                    <a:ln>
                      <a:noFill/>
                    </a:ln>
                  </pic:spPr>
                </pic:pic>
              </a:graphicData>
            </a:graphic>
          </wp:inline>
        </w:drawing>
      </w:r>
      <w:r w:rsidR="003E59B7" w:rsidRPr="00A14ACA">
        <w:rPr>
          <w:rFonts w:ascii="Arial" w:hAnsi="Arial" w:cs="Arial"/>
          <w:szCs w:val="22"/>
          <w:lang w:val="es-ES"/>
        </w:rPr>
        <w:br w:type="page"/>
      </w:r>
    </w:p>
    <w:p w14:paraId="21A348EF" w14:textId="77777777" w:rsidR="003E59B7" w:rsidRPr="00A14ACA" w:rsidRDefault="003E59B7" w:rsidP="003E59B7">
      <w:pPr>
        <w:ind w:left="567"/>
        <w:rPr>
          <w:rFonts w:ascii="Arial" w:hAnsi="Arial" w:cs="Arial"/>
          <w:szCs w:val="22"/>
          <w:lang w:val="es-ES"/>
        </w:rPr>
      </w:pPr>
    </w:p>
    <w:p w14:paraId="320A294E" w14:textId="77777777" w:rsidR="003E59B7" w:rsidRPr="00E42144" w:rsidRDefault="003E59B7" w:rsidP="003E59B7">
      <w:pPr>
        <w:spacing w:after="120" w:line="276" w:lineRule="auto"/>
        <w:ind w:left="360"/>
        <w:contextualSpacing/>
        <w:jc w:val="both"/>
        <w:rPr>
          <w:rFonts w:ascii="Arial" w:eastAsia="Calibri" w:hAnsi="Arial" w:cs="Arial"/>
          <w:b/>
          <w:szCs w:val="22"/>
          <w:lang w:val="es-ES" w:eastAsia="en-US"/>
        </w:rPr>
      </w:pPr>
    </w:p>
    <w:p w14:paraId="4ADF5087" w14:textId="46D1483C" w:rsidR="003E59B7" w:rsidRPr="00E42144" w:rsidRDefault="003E59B7" w:rsidP="00E42144">
      <w:pPr>
        <w:pStyle w:val="Prrafodelista"/>
        <w:numPr>
          <w:ilvl w:val="0"/>
          <w:numId w:val="2"/>
        </w:numPr>
        <w:spacing w:after="120" w:line="276" w:lineRule="auto"/>
        <w:contextualSpacing/>
        <w:jc w:val="both"/>
        <w:rPr>
          <w:rFonts w:ascii="Arial" w:eastAsia="Calibri" w:hAnsi="Arial" w:cs="Arial"/>
          <w:b/>
          <w:szCs w:val="22"/>
          <w:lang w:val="es-ES" w:eastAsia="en-US"/>
        </w:rPr>
      </w:pPr>
      <w:r w:rsidRPr="00E42144">
        <w:rPr>
          <w:rFonts w:ascii="Arial" w:eastAsia="Calibri" w:hAnsi="Arial" w:cs="Arial"/>
          <w:b/>
          <w:szCs w:val="22"/>
          <w:lang w:val="es-ES" w:eastAsia="en-US"/>
        </w:rPr>
        <w:t>CONCLUSIONES</w:t>
      </w:r>
    </w:p>
    <w:p w14:paraId="742137E9" w14:textId="77777777" w:rsidR="003E59B7" w:rsidRPr="00726343" w:rsidRDefault="003E59B7" w:rsidP="003E59B7">
      <w:pPr>
        <w:spacing w:after="120" w:line="276" w:lineRule="auto"/>
        <w:ind w:left="360"/>
        <w:contextualSpacing/>
        <w:jc w:val="both"/>
        <w:rPr>
          <w:rFonts w:ascii="Arial" w:eastAsia="Calibri" w:hAnsi="Arial" w:cs="Arial"/>
          <w:szCs w:val="22"/>
          <w:lang w:val="es-ES" w:eastAsia="en-US"/>
        </w:rPr>
      </w:pPr>
    </w:p>
    <w:p w14:paraId="396AE2ED" w14:textId="77777777" w:rsidR="003E59B7" w:rsidRDefault="003E59B7" w:rsidP="003E59B7">
      <w:pPr>
        <w:pStyle w:val="Prrafodelista"/>
        <w:numPr>
          <w:ilvl w:val="0"/>
          <w:numId w:val="9"/>
        </w:numPr>
        <w:spacing w:after="120" w:line="276" w:lineRule="auto"/>
        <w:jc w:val="both"/>
        <w:rPr>
          <w:rFonts w:ascii="Arial" w:hAnsi="Arial" w:cs="Arial"/>
          <w:szCs w:val="22"/>
          <w:lang w:val="es-ES"/>
        </w:rPr>
      </w:pPr>
      <w:r>
        <w:rPr>
          <w:rFonts w:ascii="Arial" w:hAnsi="Arial" w:cs="Arial"/>
          <w:szCs w:val="22"/>
          <w:lang w:val="es-ES"/>
        </w:rPr>
        <w:t>El sistema de contratación en origen a través de la Gestión Colectiva de Contratación en Origen que se desarrolla anualmente para la campaña de Huelva tiene una gran importancia cualitativa y cuantitativa en la política migratoria de nuestro país.</w:t>
      </w:r>
    </w:p>
    <w:p w14:paraId="54906C8C" w14:textId="77777777" w:rsidR="003E59B7" w:rsidRDefault="003E59B7" w:rsidP="003E59B7">
      <w:pPr>
        <w:pStyle w:val="Prrafodelista"/>
        <w:numPr>
          <w:ilvl w:val="0"/>
          <w:numId w:val="9"/>
        </w:numPr>
        <w:spacing w:after="120" w:line="276" w:lineRule="auto"/>
        <w:jc w:val="both"/>
        <w:rPr>
          <w:rFonts w:ascii="Arial" w:hAnsi="Arial" w:cs="Arial"/>
          <w:szCs w:val="22"/>
          <w:lang w:val="es-ES"/>
        </w:rPr>
      </w:pPr>
      <w:r>
        <w:rPr>
          <w:rFonts w:ascii="Arial" w:hAnsi="Arial" w:cs="Arial"/>
          <w:szCs w:val="22"/>
          <w:lang w:val="es-ES"/>
        </w:rPr>
        <w:t xml:space="preserve">La campaña de contratación de marroquíes en Huelva es un ejemplo de buena práctica a nivel europeo seguido con gran atención por diferentes países a los que les gustaría desarrollar proyectos similares. </w:t>
      </w:r>
    </w:p>
    <w:p w14:paraId="43A11784" w14:textId="77777777" w:rsidR="003E59B7" w:rsidRPr="00A3622B" w:rsidRDefault="003E59B7" w:rsidP="003E59B7">
      <w:pPr>
        <w:pStyle w:val="Prrafodelista"/>
        <w:numPr>
          <w:ilvl w:val="0"/>
          <w:numId w:val="9"/>
        </w:numPr>
        <w:spacing w:after="120" w:line="276" w:lineRule="auto"/>
        <w:jc w:val="both"/>
        <w:rPr>
          <w:rFonts w:ascii="Arial" w:hAnsi="Arial" w:cs="Arial"/>
          <w:szCs w:val="22"/>
          <w:lang w:val="es-ES"/>
        </w:rPr>
      </w:pPr>
      <w:r w:rsidRPr="00A3622B">
        <w:rPr>
          <w:rFonts w:ascii="Arial" w:hAnsi="Arial" w:cs="Arial"/>
          <w:szCs w:val="22"/>
          <w:lang w:val="es-ES"/>
        </w:rPr>
        <w:t xml:space="preserve">La campaña de la fresa </w:t>
      </w:r>
      <w:r>
        <w:rPr>
          <w:rFonts w:ascii="Arial" w:hAnsi="Arial" w:cs="Arial"/>
          <w:szCs w:val="22"/>
          <w:lang w:val="es-ES"/>
        </w:rPr>
        <w:t xml:space="preserve">y frutos rojos </w:t>
      </w:r>
      <w:r w:rsidRPr="00A3622B">
        <w:rPr>
          <w:rFonts w:ascii="Arial" w:hAnsi="Arial" w:cs="Arial"/>
          <w:szCs w:val="22"/>
          <w:lang w:val="es-ES"/>
        </w:rPr>
        <w:t xml:space="preserve">supone para Marruecos un activo valioso. Sus autoridades así lo </w:t>
      </w:r>
      <w:r>
        <w:rPr>
          <w:rFonts w:ascii="Arial" w:hAnsi="Arial" w:cs="Arial"/>
          <w:szCs w:val="22"/>
          <w:lang w:val="es-ES"/>
        </w:rPr>
        <w:t xml:space="preserve">reconocen y demuestran </w:t>
      </w:r>
      <w:r w:rsidRPr="00A3622B">
        <w:rPr>
          <w:rFonts w:ascii="Arial" w:hAnsi="Arial" w:cs="Arial"/>
          <w:szCs w:val="22"/>
          <w:lang w:val="es-ES"/>
        </w:rPr>
        <w:t xml:space="preserve">un alto nivel de implicación y de profesionalidad. La coordinación con </w:t>
      </w:r>
      <w:r>
        <w:rPr>
          <w:rFonts w:ascii="Arial" w:hAnsi="Arial" w:cs="Arial"/>
          <w:szCs w:val="22"/>
          <w:lang w:val="es-ES"/>
        </w:rPr>
        <w:t>estas</w:t>
      </w:r>
      <w:r w:rsidRPr="00A3622B">
        <w:rPr>
          <w:rFonts w:ascii="Arial" w:hAnsi="Arial" w:cs="Arial"/>
          <w:szCs w:val="22"/>
          <w:lang w:val="es-ES"/>
        </w:rPr>
        <w:t xml:space="preserve"> autoridades en la planificación, desarrollo y mejora de la campaña ha sido, en la que corresponde a la de 2018-2019, de enorme valor y ejemplar en muchos aspectos. </w:t>
      </w:r>
    </w:p>
    <w:p w14:paraId="161008EF" w14:textId="77777777" w:rsidR="003E59B7" w:rsidRDefault="003E59B7" w:rsidP="003E59B7">
      <w:pPr>
        <w:pStyle w:val="Prrafodelista"/>
        <w:numPr>
          <w:ilvl w:val="0"/>
          <w:numId w:val="9"/>
        </w:numPr>
        <w:spacing w:after="120" w:line="276" w:lineRule="auto"/>
        <w:jc w:val="both"/>
        <w:rPr>
          <w:rFonts w:ascii="Arial" w:hAnsi="Arial" w:cs="Arial"/>
          <w:szCs w:val="22"/>
          <w:lang w:val="es-ES"/>
        </w:rPr>
      </w:pPr>
      <w:r>
        <w:rPr>
          <w:rFonts w:ascii="Arial" w:hAnsi="Arial" w:cs="Arial"/>
          <w:szCs w:val="22"/>
          <w:lang w:val="es-ES"/>
        </w:rPr>
        <w:t xml:space="preserve">Las cifras de contratación de Huelva del conjunto de la campaña </w:t>
      </w:r>
      <w:r w:rsidRPr="003F0653">
        <w:rPr>
          <w:rFonts w:ascii="Arial" w:hAnsi="Arial" w:cs="Arial"/>
          <w:b/>
          <w:szCs w:val="22"/>
          <w:lang w:val="es-ES"/>
        </w:rPr>
        <w:t>demuestran que la contratación de trabajadoras marroquíes es complementaria, no sustitutiva</w:t>
      </w:r>
      <w:r>
        <w:rPr>
          <w:rFonts w:ascii="Arial" w:hAnsi="Arial" w:cs="Arial"/>
          <w:szCs w:val="22"/>
          <w:lang w:val="es-ES"/>
        </w:rPr>
        <w:t xml:space="preserve">, a la contratación de trabajadores en España. </w:t>
      </w:r>
    </w:p>
    <w:p w14:paraId="00337479" w14:textId="77777777" w:rsidR="003E59B7" w:rsidRDefault="003E59B7" w:rsidP="003E59B7">
      <w:pPr>
        <w:pStyle w:val="Prrafodelista"/>
        <w:numPr>
          <w:ilvl w:val="0"/>
          <w:numId w:val="9"/>
        </w:numPr>
        <w:spacing w:after="120" w:line="276" w:lineRule="auto"/>
        <w:jc w:val="both"/>
        <w:rPr>
          <w:rFonts w:ascii="Arial" w:hAnsi="Arial" w:cs="Arial"/>
          <w:szCs w:val="22"/>
          <w:lang w:val="es-ES"/>
        </w:rPr>
      </w:pPr>
      <w:r>
        <w:rPr>
          <w:rFonts w:ascii="Arial" w:hAnsi="Arial" w:cs="Arial"/>
          <w:szCs w:val="22"/>
          <w:lang w:val="es-ES"/>
        </w:rPr>
        <w:t>El esfuerzo realizado desde la SEM a esta campaña ha tenido un retorno positivo en diferentes términos:</w:t>
      </w:r>
    </w:p>
    <w:p w14:paraId="5107E98C" w14:textId="77777777" w:rsidR="003E59B7" w:rsidRDefault="003E59B7" w:rsidP="003E59B7">
      <w:pPr>
        <w:pStyle w:val="Prrafodelista"/>
        <w:numPr>
          <w:ilvl w:val="1"/>
          <w:numId w:val="9"/>
        </w:numPr>
        <w:spacing w:after="120" w:line="276" w:lineRule="auto"/>
        <w:jc w:val="both"/>
        <w:rPr>
          <w:rFonts w:ascii="Arial" w:hAnsi="Arial" w:cs="Arial"/>
          <w:szCs w:val="22"/>
          <w:lang w:val="es-ES"/>
        </w:rPr>
      </w:pPr>
      <w:r>
        <w:rPr>
          <w:rFonts w:ascii="Arial" w:hAnsi="Arial" w:cs="Arial"/>
          <w:szCs w:val="22"/>
          <w:lang w:val="es-ES"/>
        </w:rPr>
        <w:t xml:space="preserve">Ha mejorado la campaña en el aspecto catalizador de relación hispano-marroquí. Sus autoridades lo han reconocido y así se recoge en el comunicado conjunto. </w:t>
      </w:r>
    </w:p>
    <w:p w14:paraId="3797846A" w14:textId="77777777" w:rsidR="003E59B7" w:rsidRDefault="003E59B7" w:rsidP="003E59B7">
      <w:pPr>
        <w:pStyle w:val="Prrafodelista"/>
        <w:numPr>
          <w:ilvl w:val="1"/>
          <w:numId w:val="9"/>
        </w:numPr>
        <w:spacing w:after="120" w:line="276" w:lineRule="auto"/>
        <w:jc w:val="both"/>
        <w:rPr>
          <w:rFonts w:ascii="Arial" w:hAnsi="Arial" w:cs="Arial"/>
          <w:szCs w:val="22"/>
          <w:lang w:val="es-ES"/>
        </w:rPr>
      </w:pPr>
      <w:r>
        <w:rPr>
          <w:rFonts w:ascii="Arial" w:hAnsi="Arial" w:cs="Arial"/>
          <w:szCs w:val="22"/>
          <w:lang w:val="es-ES"/>
        </w:rPr>
        <w:t xml:space="preserve">Ha cubierto las necesidades de mano de obra de las empresas. Las asociaciones hicieron saber su satisfacción al papel de la SEM en la reunión de la Comisión Central de Flujos Migratorios. </w:t>
      </w:r>
    </w:p>
    <w:p w14:paraId="4ABFB597" w14:textId="40A03794" w:rsidR="003E59B7" w:rsidRDefault="003E59B7" w:rsidP="003E59B7">
      <w:pPr>
        <w:pStyle w:val="Prrafodelista"/>
        <w:numPr>
          <w:ilvl w:val="1"/>
          <w:numId w:val="9"/>
        </w:numPr>
        <w:spacing w:after="120" w:line="276" w:lineRule="auto"/>
        <w:jc w:val="both"/>
        <w:rPr>
          <w:rFonts w:ascii="Arial" w:hAnsi="Arial" w:cs="Arial"/>
          <w:szCs w:val="22"/>
          <w:lang w:val="es-ES"/>
        </w:rPr>
      </w:pPr>
      <w:r>
        <w:rPr>
          <w:rFonts w:ascii="Arial" w:hAnsi="Arial" w:cs="Arial"/>
          <w:szCs w:val="22"/>
          <w:lang w:val="es-ES"/>
        </w:rPr>
        <w:t xml:space="preserve">Ha mejorado controles preventivos y respuestas. </w:t>
      </w:r>
    </w:p>
    <w:p w14:paraId="5D80F44B" w14:textId="03D7D372" w:rsidR="00E14380" w:rsidRPr="00E14380" w:rsidRDefault="00E14380" w:rsidP="00E14380">
      <w:pPr>
        <w:pStyle w:val="Prrafodelista"/>
        <w:numPr>
          <w:ilvl w:val="0"/>
          <w:numId w:val="9"/>
        </w:numPr>
        <w:spacing w:after="120" w:line="276" w:lineRule="auto"/>
        <w:jc w:val="both"/>
        <w:rPr>
          <w:rFonts w:ascii="Arial" w:hAnsi="Arial" w:cs="Arial"/>
          <w:szCs w:val="22"/>
          <w:lang w:val="es-ES"/>
        </w:rPr>
      </w:pPr>
      <w:r>
        <w:rPr>
          <w:rFonts w:ascii="Arial" w:hAnsi="Arial" w:cs="Arial"/>
          <w:szCs w:val="22"/>
          <w:lang w:val="es-ES"/>
        </w:rPr>
        <w:t>Al tratarse de una campaña donde intervienen numerosos agentes y administraciones, debe ponerse en valor la coordinación con la que se ha desarrollado y la necesidad de seguir intensificando los esfuerzos para su mejora. Partiendo de la buena disposición mostrada por la Junta de Andalucía, para esta campaña se quiere involucrar a todos los niveles a las Entidades Locales.</w:t>
      </w:r>
    </w:p>
    <w:p w14:paraId="37A64EF4" w14:textId="77777777" w:rsidR="003E59B7" w:rsidRPr="003F0653" w:rsidRDefault="003E59B7" w:rsidP="003E59B7">
      <w:pPr>
        <w:jc w:val="both"/>
        <w:rPr>
          <w:rFonts w:ascii="Arial" w:hAnsi="Arial" w:cs="Arial"/>
          <w:szCs w:val="22"/>
          <w:lang w:val="es-ES"/>
        </w:rPr>
      </w:pPr>
    </w:p>
    <w:p w14:paraId="022FAC1A" w14:textId="77777777" w:rsidR="003E59B7" w:rsidRPr="005658B8" w:rsidRDefault="003E59B7" w:rsidP="003E59B7">
      <w:pPr>
        <w:rPr>
          <w:lang w:val="es-ES"/>
        </w:rPr>
      </w:pPr>
    </w:p>
    <w:p w14:paraId="79EA2387" w14:textId="65C2B079" w:rsidR="00B030F2" w:rsidRDefault="00605F45" w:rsidP="003E59B7">
      <w:pPr>
        <w:rPr>
          <w:lang w:val="es-ES"/>
        </w:rPr>
      </w:pPr>
    </w:p>
    <w:p w14:paraId="78F906C4" w14:textId="0485943A" w:rsidR="00BC7498" w:rsidRDefault="00BC7498" w:rsidP="003E59B7">
      <w:pPr>
        <w:rPr>
          <w:lang w:val="es-ES"/>
        </w:rPr>
      </w:pPr>
    </w:p>
    <w:p w14:paraId="139434D6" w14:textId="37BBBF53" w:rsidR="00BC7498" w:rsidRDefault="00BC7498" w:rsidP="003E59B7">
      <w:pPr>
        <w:rPr>
          <w:lang w:val="es-ES"/>
        </w:rPr>
      </w:pPr>
    </w:p>
    <w:p w14:paraId="38A794DD" w14:textId="1006C797" w:rsidR="00BC7498" w:rsidRDefault="00BC7498" w:rsidP="003E59B7">
      <w:pPr>
        <w:rPr>
          <w:lang w:val="es-ES"/>
        </w:rPr>
      </w:pPr>
    </w:p>
    <w:p w14:paraId="6F23B582" w14:textId="47F72B45" w:rsidR="00BC7498" w:rsidRDefault="00BC7498" w:rsidP="003E59B7">
      <w:pPr>
        <w:rPr>
          <w:lang w:val="es-ES"/>
        </w:rPr>
      </w:pPr>
    </w:p>
    <w:p w14:paraId="7043D765" w14:textId="75AB3C04" w:rsidR="00BC7498" w:rsidRDefault="00BC7498" w:rsidP="003E59B7">
      <w:pPr>
        <w:rPr>
          <w:lang w:val="es-ES"/>
        </w:rPr>
      </w:pPr>
    </w:p>
    <w:p w14:paraId="452A6F3F" w14:textId="07FA9F3A" w:rsidR="00BC7498" w:rsidRDefault="00BC7498" w:rsidP="003E59B7">
      <w:pPr>
        <w:rPr>
          <w:lang w:val="es-ES"/>
        </w:rPr>
      </w:pPr>
    </w:p>
    <w:p w14:paraId="54969956" w14:textId="7D0D617E" w:rsidR="00BC7498" w:rsidRPr="00087C72" w:rsidRDefault="00BC7498" w:rsidP="00E42144">
      <w:pPr>
        <w:pStyle w:val="Prrafodelista"/>
        <w:numPr>
          <w:ilvl w:val="0"/>
          <w:numId w:val="2"/>
        </w:numPr>
        <w:rPr>
          <w:rFonts w:ascii="Arial" w:hAnsi="Arial" w:cs="Arial"/>
          <w:b/>
          <w:szCs w:val="22"/>
        </w:rPr>
      </w:pPr>
      <w:r w:rsidRPr="00087C72">
        <w:rPr>
          <w:rFonts w:ascii="Arial" w:hAnsi="Arial" w:cs="Arial"/>
          <w:b/>
          <w:szCs w:val="22"/>
        </w:rPr>
        <w:lastRenderedPageBreak/>
        <w:t>ANEXO</w:t>
      </w:r>
    </w:p>
    <w:p w14:paraId="38885171" w14:textId="77777777" w:rsidR="00BC7498" w:rsidRPr="00087C72" w:rsidRDefault="00BC7498" w:rsidP="00BC7498">
      <w:pPr>
        <w:jc w:val="center"/>
        <w:rPr>
          <w:rFonts w:ascii="Arial" w:hAnsi="Arial" w:cs="Arial"/>
          <w:b/>
          <w:szCs w:val="22"/>
        </w:rPr>
      </w:pPr>
    </w:p>
    <w:p w14:paraId="67EDBCFA" w14:textId="27C1E5B8" w:rsidR="00BC7498" w:rsidRPr="00087C72" w:rsidRDefault="00BC7498" w:rsidP="00456013">
      <w:pPr>
        <w:ind w:left="360"/>
        <w:jc w:val="both"/>
        <w:rPr>
          <w:rFonts w:ascii="Arial" w:hAnsi="Arial" w:cs="Arial"/>
          <w:b/>
          <w:szCs w:val="22"/>
        </w:rPr>
      </w:pPr>
      <w:r w:rsidRPr="00087C72">
        <w:rPr>
          <w:rFonts w:ascii="Arial" w:hAnsi="Arial" w:cs="Arial"/>
          <w:b/>
          <w:szCs w:val="22"/>
        </w:rPr>
        <w:t>COMUNICADO CONJUNTO DEL GOBIERNO DE ESPAÑA Y EL GOBIERNO DE MARRUECOS ACERCA DE LA CAMPAÑA DE CONTRATACIÓN EN ORIGEN PARA LA CAMPAÑA 2018-2019 DE FRESA Y FRUTOS ROJOS EN HUELVA</w:t>
      </w:r>
    </w:p>
    <w:p w14:paraId="2677C0A0" w14:textId="77777777" w:rsidR="00BC7498" w:rsidRPr="00087C72" w:rsidRDefault="00BC7498" w:rsidP="00BC7498">
      <w:pPr>
        <w:jc w:val="both"/>
        <w:rPr>
          <w:rFonts w:ascii="Arial" w:hAnsi="Arial" w:cs="Arial"/>
          <w:szCs w:val="22"/>
        </w:rPr>
      </w:pPr>
    </w:p>
    <w:p w14:paraId="5B2592FD" w14:textId="27B793D9" w:rsidR="00BC7498" w:rsidRPr="002C765C" w:rsidRDefault="00BC7498" w:rsidP="002C765C">
      <w:pPr>
        <w:spacing w:line="276" w:lineRule="auto"/>
        <w:ind w:left="567"/>
        <w:jc w:val="both"/>
        <w:rPr>
          <w:rFonts w:ascii="Arial" w:hAnsi="Arial" w:cs="Arial"/>
          <w:szCs w:val="22"/>
          <w:lang w:val="es-ES"/>
        </w:rPr>
      </w:pPr>
      <w:r w:rsidRPr="002C765C">
        <w:rPr>
          <w:rFonts w:ascii="Arial" w:hAnsi="Arial" w:cs="Arial"/>
          <w:szCs w:val="22"/>
          <w:lang w:val="es-ES"/>
        </w:rPr>
        <w:t xml:space="preserve">Al concluir la campaña de recolección de fresa y frutos rojos correspondiente a 2019 en la provincia de Huelva, el Reino de Marruecos, a través del Ministerio de Trabajo e Inserción Profesional y el Ministerio Delegado encargado de los Marroquíes Residentes en el Extranjero y los Asuntos de la Migración, y el Reino de España, a través de su Ministerio de Trabajo, Migraciones y Seguridad Social, desean compartir un primer balance de la misma. </w:t>
      </w:r>
    </w:p>
    <w:p w14:paraId="48AFB304" w14:textId="77777777" w:rsidR="00BC7498" w:rsidRPr="002C765C" w:rsidRDefault="00BC7498" w:rsidP="002C765C">
      <w:pPr>
        <w:spacing w:line="276" w:lineRule="auto"/>
        <w:ind w:left="567"/>
        <w:jc w:val="both"/>
        <w:rPr>
          <w:rFonts w:ascii="Arial" w:hAnsi="Arial" w:cs="Arial"/>
          <w:szCs w:val="22"/>
          <w:lang w:val="es-ES"/>
        </w:rPr>
      </w:pPr>
    </w:p>
    <w:p w14:paraId="4B84DE15" w14:textId="1773695C" w:rsidR="00BC7498" w:rsidRPr="002C765C" w:rsidRDefault="00BC7498" w:rsidP="002C765C">
      <w:pPr>
        <w:spacing w:line="276" w:lineRule="auto"/>
        <w:ind w:left="567"/>
        <w:jc w:val="both"/>
        <w:rPr>
          <w:rFonts w:ascii="Arial" w:hAnsi="Arial" w:cs="Arial"/>
          <w:szCs w:val="22"/>
          <w:lang w:val="es-ES"/>
        </w:rPr>
      </w:pPr>
      <w:r w:rsidRPr="002C765C">
        <w:rPr>
          <w:rFonts w:ascii="Arial" w:hAnsi="Arial" w:cs="Arial"/>
          <w:szCs w:val="22"/>
          <w:lang w:val="es-ES"/>
        </w:rPr>
        <w:t xml:space="preserve">En primer lugar, ambos Ejecutivos coinciden en que el desplazamiento de 14.583 personas de nacionalidad marroquí, en un proceso de migración regular, ordenada y segura, resulta positivo para el país de origen y el de destino, pero sobre todo para las personas que participan en esta campaña de migración circular. </w:t>
      </w:r>
    </w:p>
    <w:p w14:paraId="419DBE25" w14:textId="77777777" w:rsidR="00BC7498" w:rsidRPr="002C765C" w:rsidRDefault="00BC7498" w:rsidP="002C765C">
      <w:pPr>
        <w:spacing w:line="276" w:lineRule="auto"/>
        <w:ind w:left="567"/>
        <w:jc w:val="both"/>
        <w:rPr>
          <w:rFonts w:ascii="Arial" w:hAnsi="Arial" w:cs="Arial"/>
          <w:szCs w:val="22"/>
          <w:lang w:val="es-ES"/>
        </w:rPr>
      </w:pPr>
    </w:p>
    <w:p w14:paraId="4348B43B" w14:textId="5B947578" w:rsidR="00BC7498" w:rsidRPr="002C765C" w:rsidRDefault="00BC7498" w:rsidP="002C765C">
      <w:pPr>
        <w:spacing w:line="276" w:lineRule="auto"/>
        <w:ind w:left="567"/>
        <w:jc w:val="both"/>
        <w:rPr>
          <w:rFonts w:ascii="Arial" w:hAnsi="Arial" w:cs="Arial"/>
          <w:szCs w:val="22"/>
          <w:lang w:val="es-ES"/>
        </w:rPr>
      </w:pPr>
      <w:r w:rsidRPr="002C765C">
        <w:rPr>
          <w:rFonts w:ascii="Arial" w:hAnsi="Arial" w:cs="Arial"/>
          <w:szCs w:val="22"/>
          <w:lang w:val="es-ES"/>
        </w:rPr>
        <w:t xml:space="preserve">La campaña agrícola de la provincia de Huelva es un importantísimo factor de desarrollo económico y de empleo, en la que se declaran 5 millones de jornadas de trabajo, y donde la afiliación media a la Seguridad Social en el mes de mayo de 2019 ha arrojado una media de 91.291 altas en el régimen especial agrario, de las cuales 42.979 son trabajadores españoles, 21.894 comunitarios y 26.418 extracomunitarios. Estas cifras constatan que las personas desplazadas desde Marruecos son un complemento migratorio imprescindible dado el volumen de contrataciones y en modo alguno sustitutivo de la contratación mayoritaria de personas de nacionalidad española o extranjera que residen en España.  </w:t>
      </w:r>
    </w:p>
    <w:p w14:paraId="696B693D" w14:textId="77777777" w:rsidR="00BC7498" w:rsidRPr="002C765C" w:rsidRDefault="00BC7498" w:rsidP="002C765C">
      <w:pPr>
        <w:spacing w:line="276" w:lineRule="auto"/>
        <w:ind w:left="567"/>
        <w:jc w:val="both"/>
        <w:rPr>
          <w:rFonts w:ascii="Arial" w:hAnsi="Arial" w:cs="Arial"/>
          <w:szCs w:val="22"/>
          <w:lang w:val="es-ES"/>
        </w:rPr>
      </w:pPr>
    </w:p>
    <w:p w14:paraId="573704CA" w14:textId="58B13189" w:rsidR="00BC7498" w:rsidRPr="002C765C" w:rsidRDefault="00BC7498" w:rsidP="002C765C">
      <w:pPr>
        <w:spacing w:line="276" w:lineRule="auto"/>
        <w:ind w:left="567"/>
        <w:jc w:val="both"/>
        <w:rPr>
          <w:rFonts w:ascii="Arial" w:hAnsi="Arial" w:cs="Arial"/>
          <w:szCs w:val="22"/>
          <w:lang w:val="es-ES"/>
        </w:rPr>
      </w:pPr>
      <w:r w:rsidRPr="002C765C">
        <w:rPr>
          <w:rFonts w:ascii="Arial" w:hAnsi="Arial" w:cs="Arial"/>
          <w:szCs w:val="22"/>
          <w:lang w:val="es-ES"/>
        </w:rPr>
        <w:t xml:space="preserve">Durante la campaña 2019, ambos Gobiernos han impulsado mejoras en la planificación de la campaña, incrementando el número de reuniones y la frecuencia de los contactos, que ha permitido una programación adecuada y la llegada escalonada de las personas que vienen a trabajar de acuerdo al calendario y necesidades expresadas por el sector. Tanto la Administración marroquí como la española han realizado el máximo esfuerzo para cumplir con unos plazos exigentes en un tiempo limitado y, conscientes de que hay un recorrido de mejora, pueden expresar su satisfacción por que se haya dado respuesta a las necesidades. </w:t>
      </w:r>
    </w:p>
    <w:p w14:paraId="20C62F96" w14:textId="77777777" w:rsidR="00BC7498" w:rsidRPr="002C765C" w:rsidRDefault="00BC7498" w:rsidP="002C765C">
      <w:pPr>
        <w:spacing w:line="276" w:lineRule="auto"/>
        <w:ind w:left="567"/>
        <w:jc w:val="both"/>
        <w:rPr>
          <w:rFonts w:ascii="Arial" w:hAnsi="Arial" w:cs="Arial"/>
          <w:szCs w:val="22"/>
          <w:lang w:val="es-ES"/>
        </w:rPr>
      </w:pPr>
    </w:p>
    <w:p w14:paraId="74BF8C8D" w14:textId="33EA176F" w:rsidR="00BC7498" w:rsidRPr="002C765C" w:rsidRDefault="00BC7498" w:rsidP="002C765C">
      <w:pPr>
        <w:spacing w:line="276" w:lineRule="auto"/>
        <w:ind w:left="567"/>
        <w:jc w:val="both"/>
        <w:rPr>
          <w:rFonts w:ascii="Arial" w:hAnsi="Arial" w:cs="Arial"/>
          <w:szCs w:val="22"/>
          <w:lang w:val="es-ES"/>
        </w:rPr>
      </w:pPr>
      <w:r w:rsidRPr="002C765C">
        <w:rPr>
          <w:rFonts w:ascii="Arial" w:hAnsi="Arial" w:cs="Arial"/>
          <w:szCs w:val="22"/>
          <w:lang w:val="es-ES"/>
        </w:rPr>
        <w:t>Asimismo, ambos Gobiernos han impulsado mejoras en el seguimiento y control de las condiciones laborales y de alojamiento de las personas desplazadas, al considerar que constituye una prioridad que se cumpla la igualdad de trato en dichas condiciones.</w:t>
      </w:r>
    </w:p>
    <w:p w14:paraId="4DCFB1F0" w14:textId="77777777" w:rsidR="00BC7498" w:rsidRPr="002C765C" w:rsidRDefault="00BC7498" w:rsidP="002C765C">
      <w:pPr>
        <w:spacing w:line="276" w:lineRule="auto"/>
        <w:ind w:left="567"/>
        <w:jc w:val="both"/>
        <w:rPr>
          <w:rFonts w:ascii="Arial" w:hAnsi="Arial" w:cs="Arial"/>
          <w:szCs w:val="22"/>
          <w:lang w:val="es-ES"/>
        </w:rPr>
      </w:pPr>
    </w:p>
    <w:p w14:paraId="737FEEE3" w14:textId="38F75721" w:rsidR="00BC7498" w:rsidRDefault="00BC7498" w:rsidP="002C765C">
      <w:pPr>
        <w:spacing w:line="276" w:lineRule="auto"/>
        <w:ind w:left="567"/>
        <w:jc w:val="both"/>
        <w:rPr>
          <w:rFonts w:ascii="Arial" w:hAnsi="Arial" w:cs="Arial"/>
          <w:szCs w:val="22"/>
          <w:lang w:val="es-ES"/>
        </w:rPr>
      </w:pPr>
      <w:r w:rsidRPr="002C765C">
        <w:rPr>
          <w:rFonts w:ascii="Arial" w:hAnsi="Arial" w:cs="Arial"/>
          <w:szCs w:val="22"/>
          <w:lang w:val="es-ES"/>
        </w:rPr>
        <w:t xml:space="preserve">El Ministerio de Trabajo del Gobierno Marroquí, a través de ANAPEC (Agencia Nacional Marroquí para la Promoción del Empleo) ha desarrollado en origen sesiones informativas </w:t>
      </w:r>
      <w:r w:rsidRPr="002C765C">
        <w:rPr>
          <w:rFonts w:ascii="Arial" w:hAnsi="Arial" w:cs="Arial"/>
          <w:szCs w:val="22"/>
          <w:lang w:val="es-ES"/>
        </w:rPr>
        <w:lastRenderedPageBreak/>
        <w:t xml:space="preserve">con el objetivo de dar a conocer los derechos y condiciones laborales y de seguridad y salud en el trabajo. </w:t>
      </w:r>
    </w:p>
    <w:p w14:paraId="03D65D3E" w14:textId="77777777" w:rsidR="00456013" w:rsidRPr="002C765C" w:rsidRDefault="00456013" w:rsidP="002C765C">
      <w:pPr>
        <w:spacing w:line="276" w:lineRule="auto"/>
        <w:ind w:left="567"/>
        <w:jc w:val="both"/>
        <w:rPr>
          <w:rFonts w:ascii="Arial" w:hAnsi="Arial" w:cs="Arial"/>
          <w:szCs w:val="22"/>
          <w:lang w:val="es-ES"/>
        </w:rPr>
      </w:pPr>
    </w:p>
    <w:p w14:paraId="0DFC6970" w14:textId="3691CF99" w:rsidR="00BC7498" w:rsidRPr="002C765C" w:rsidRDefault="00BC7498" w:rsidP="002C765C">
      <w:pPr>
        <w:spacing w:line="276" w:lineRule="auto"/>
        <w:ind w:left="567"/>
        <w:jc w:val="both"/>
        <w:rPr>
          <w:rFonts w:ascii="Arial" w:hAnsi="Arial" w:cs="Arial"/>
          <w:szCs w:val="22"/>
          <w:lang w:val="es-ES"/>
        </w:rPr>
      </w:pPr>
      <w:r w:rsidRPr="002C765C">
        <w:rPr>
          <w:rFonts w:ascii="Arial" w:hAnsi="Arial" w:cs="Arial"/>
          <w:szCs w:val="22"/>
          <w:lang w:val="es-ES"/>
        </w:rPr>
        <w:t xml:space="preserve">En España, la Administración General del Estado, la Junta de Andalucía, empresas participantes en un Plan de Responsabilidad Ética, Laboral y Social, sindicatos y organizaciones no gubernamentales, han coordinado actuaciones y participado para procurar una atención laboral y social adecuada a las necesidades de los trabajadores durante toda la campaña. </w:t>
      </w:r>
    </w:p>
    <w:p w14:paraId="12D5E4FF" w14:textId="77777777" w:rsidR="00BC7498" w:rsidRPr="002C765C" w:rsidRDefault="00BC7498" w:rsidP="002C765C">
      <w:pPr>
        <w:spacing w:line="276" w:lineRule="auto"/>
        <w:ind w:left="567"/>
        <w:jc w:val="both"/>
        <w:rPr>
          <w:rFonts w:ascii="Arial" w:hAnsi="Arial" w:cs="Arial"/>
          <w:szCs w:val="22"/>
          <w:lang w:val="es-ES"/>
        </w:rPr>
      </w:pPr>
    </w:p>
    <w:p w14:paraId="2765A19D" w14:textId="77777777" w:rsidR="00BC7498" w:rsidRPr="002C765C" w:rsidRDefault="00BC7498" w:rsidP="002C765C">
      <w:pPr>
        <w:spacing w:line="276" w:lineRule="auto"/>
        <w:ind w:left="567"/>
        <w:jc w:val="both"/>
        <w:rPr>
          <w:rFonts w:ascii="Arial" w:hAnsi="Arial" w:cs="Arial"/>
          <w:szCs w:val="22"/>
          <w:lang w:val="es-ES"/>
        </w:rPr>
      </w:pPr>
      <w:r w:rsidRPr="002C765C">
        <w:rPr>
          <w:rFonts w:ascii="Arial" w:hAnsi="Arial" w:cs="Arial"/>
          <w:szCs w:val="22"/>
          <w:lang w:val="es-ES"/>
        </w:rPr>
        <w:t xml:space="preserve">La Inspección de trabajo ha puesto un especial énfasis en la función de vigilancia y control del cumplimiento de la normativa del orden social, introduciéndose una serie de novedades, concretamente la adopción de un protocolo de actuación dirigido fundamentalmente a reforzar las funciones de control en aquellas empresas con trabajadores contratados en origen. A las visitas de control planificadas dentro del protocolo, hay que adicionar todas aquellas que tienen un origen rogado (denuncias, petición de otros organismos o autoridad judicial, etcétera). </w:t>
      </w:r>
    </w:p>
    <w:p w14:paraId="00F5D928" w14:textId="77777777" w:rsidR="00BC7498" w:rsidRPr="002C765C" w:rsidRDefault="00BC7498" w:rsidP="002C765C">
      <w:pPr>
        <w:spacing w:line="276" w:lineRule="auto"/>
        <w:ind w:left="567"/>
        <w:jc w:val="both"/>
        <w:rPr>
          <w:rFonts w:ascii="Arial" w:hAnsi="Arial" w:cs="Arial"/>
          <w:szCs w:val="22"/>
          <w:lang w:val="es-ES"/>
        </w:rPr>
      </w:pPr>
    </w:p>
    <w:p w14:paraId="72989431" w14:textId="09D77D75" w:rsidR="00BC7498" w:rsidRPr="002C765C" w:rsidRDefault="00BC7498" w:rsidP="002C765C">
      <w:pPr>
        <w:spacing w:line="276" w:lineRule="auto"/>
        <w:ind w:left="567"/>
        <w:jc w:val="both"/>
        <w:rPr>
          <w:rFonts w:ascii="Arial" w:hAnsi="Arial" w:cs="Arial"/>
          <w:szCs w:val="22"/>
          <w:lang w:val="es-ES"/>
        </w:rPr>
      </w:pPr>
      <w:r w:rsidRPr="002C765C">
        <w:rPr>
          <w:rFonts w:ascii="Arial" w:hAnsi="Arial" w:cs="Arial"/>
          <w:szCs w:val="22"/>
          <w:lang w:val="es-ES"/>
        </w:rPr>
        <w:t xml:space="preserve">En el marco de una asociación entre el Ministerio de Trabajo e Inserción Profesional y el Ministerio Delegado encargado de los Marroquíes </w:t>
      </w:r>
      <w:r w:rsidR="00456013">
        <w:rPr>
          <w:rFonts w:ascii="Arial" w:hAnsi="Arial" w:cs="Arial"/>
          <w:szCs w:val="22"/>
          <w:lang w:val="es-ES"/>
        </w:rPr>
        <w:t>R</w:t>
      </w:r>
      <w:r w:rsidRPr="002C765C">
        <w:rPr>
          <w:rFonts w:ascii="Arial" w:hAnsi="Arial" w:cs="Arial"/>
          <w:szCs w:val="22"/>
          <w:lang w:val="es-ES"/>
        </w:rPr>
        <w:t>esidentes en el Extranjero y los Asuntos de la Migración del Reino de Marruecos, se han emprendido varias iniciativas. Estas iniciativas comprendían actividades de capacitación y aprendizaje del idioma español y oficios, actividades culturales en los centros de trabajo en las que las empresas agrícolas han colaborado activamente. Además, durante el mes sagrado del Ramadán, se han organizado tours colectivos (ruptura del ayuno) en presencia del Embajador del Reino de Marruecos en España.</w:t>
      </w:r>
    </w:p>
    <w:p w14:paraId="59A19AF1" w14:textId="77777777" w:rsidR="00BC7498" w:rsidRPr="002C765C" w:rsidRDefault="00BC7498" w:rsidP="002C765C">
      <w:pPr>
        <w:spacing w:line="276" w:lineRule="auto"/>
        <w:ind w:left="567"/>
        <w:jc w:val="both"/>
        <w:rPr>
          <w:rFonts w:ascii="Arial" w:hAnsi="Arial" w:cs="Arial"/>
          <w:szCs w:val="22"/>
          <w:lang w:val="es-ES"/>
        </w:rPr>
      </w:pPr>
    </w:p>
    <w:p w14:paraId="627A12A3" w14:textId="77777777" w:rsidR="00BC7498" w:rsidRPr="002C765C" w:rsidRDefault="00BC7498" w:rsidP="002C765C">
      <w:pPr>
        <w:spacing w:line="276" w:lineRule="auto"/>
        <w:ind w:left="567"/>
        <w:jc w:val="both"/>
        <w:rPr>
          <w:rFonts w:ascii="Arial" w:hAnsi="Arial" w:cs="Arial"/>
          <w:szCs w:val="22"/>
          <w:lang w:val="es-ES"/>
        </w:rPr>
      </w:pPr>
      <w:r w:rsidRPr="002C765C">
        <w:rPr>
          <w:rFonts w:ascii="Arial" w:hAnsi="Arial" w:cs="Arial"/>
          <w:szCs w:val="22"/>
          <w:lang w:val="es-ES"/>
        </w:rPr>
        <w:t xml:space="preserve">Por último, cabe señalar que todas las Administraciones implicadas tienen el firme propósito de seguir perfeccionando el procedimiento de migración circular que se desarrolla en Huelva desde hace más de una década. </w:t>
      </w:r>
    </w:p>
    <w:p w14:paraId="0029DFBE" w14:textId="77777777" w:rsidR="00BC7498" w:rsidRPr="002C765C" w:rsidRDefault="00BC7498" w:rsidP="002C765C">
      <w:pPr>
        <w:spacing w:line="276" w:lineRule="auto"/>
        <w:ind w:left="567"/>
        <w:jc w:val="both"/>
        <w:rPr>
          <w:rFonts w:ascii="Arial" w:hAnsi="Arial" w:cs="Arial"/>
          <w:szCs w:val="22"/>
          <w:lang w:val="es-ES"/>
        </w:rPr>
      </w:pPr>
    </w:p>
    <w:p w14:paraId="61793E68" w14:textId="77777777" w:rsidR="00BC7498" w:rsidRPr="002C765C" w:rsidRDefault="00BC7498" w:rsidP="002C765C">
      <w:pPr>
        <w:spacing w:line="276" w:lineRule="auto"/>
        <w:ind w:left="567"/>
        <w:jc w:val="both"/>
        <w:rPr>
          <w:rFonts w:ascii="Arial" w:hAnsi="Arial" w:cs="Arial"/>
          <w:szCs w:val="22"/>
          <w:lang w:val="es-ES"/>
        </w:rPr>
      </w:pPr>
      <w:r w:rsidRPr="002C765C">
        <w:rPr>
          <w:rFonts w:ascii="Arial" w:hAnsi="Arial" w:cs="Arial"/>
          <w:szCs w:val="22"/>
          <w:lang w:val="es-ES"/>
        </w:rPr>
        <w:t xml:space="preserve">De cara a la próxima campaña, ya se está trabajando para que, si se volviera a constatar la ausencia de trabajadores disponibles en España, se continúen impulsando mejoras. En este sentido, se renovarán los esfuerzos dirigidos a garantizar los derechos laborales de las personas desplazadas y su atención social, involucrando cada vez más a la ya estimable participación de las diferentes administraciones territoriales, así como de las organizaciones empresariales, sindicales y no gubernamentales. Además, se pondrá un especial énfasis en nuevas mejoras formativas que aprovechen la estancia temporal de los trabajadores para reforzar sus perspectivas profesionales, también en su país de origen. </w:t>
      </w:r>
    </w:p>
    <w:p w14:paraId="7F48B700" w14:textId="77777777" w:rsidR="00BC7498" w:rsidRPr="00087C72" w:rsidRDefault="00BC7498" w:rsidP="00BC7498">
      <w:pPr>
        <w:jc w:val="both"/>
        <w:rPr>
          <w:rFonts w:ascii="Arial" w:hAnsi="Arial" w:cs="Arial"/>
          <w:color w:val="000000" w:themeColor="text1"/>
          <w:szCs w:val="22"/>
          <w:lang w:eastAsia="en-US"/>
        </w:rPr>
      </w:pPr>
    </w:p>
    <w:p w14:paraId="23A1689F" w14:textId="77777777" w:rsidR="00BC7498" w:rsidRPr="00087C72" w:rsidRDefault="00BC7498" w:rsidP="00BC7498">
      <w:pPr>
        <w:jc w:val="both"/>
        <w:rPr>
          <w:rFonts w:ascii="Arial" w:hAnsi="Arial" w:cs="Arial"/>
          <w:color w:val="000000" w:themeColor="text1"/>
          <w:szCs w:val="22"/>
        </w:rPr>
      </w:pPr>
    </w:p>
    <w:p w14:paraId="02376BB7" w14:textId="77777777" w:rsidR="00BC7498" w:rsidRPr="00087C72" w:rsidRDefault="00BC7498" w:rsidP="00BC7498">
      <w:pPr>
        <w:jc w:val="both"/>
        <w:rPr>
          <w:rFonts w:ascii="Arial" w:hAnsi="Arial" w:cs="Arial"/>
          <w:color w:val="000000" w:themeColor="text1"/>
          <w:szCs w:val="22"/>
        </w:rPr>
      </w:pPr>
    </w:p>
    <w:p w14:paraId="5E3DACD4" w14:textId="7F1C293D" w:rsidR="00BC7498" w:rsidRPr="00087C72" w:rsidRDefault="00BC7498" w:rsidP="003E59B7">
      <w:pPr>
        <w:rPr>
          <w:rFonts w:ascii="Arial" w:hAnsi="Arial" w:cs="Arial"/>
          <w:szCs w:val="22"/>
          <w:lang w:val="es-ES"/>
        </w:rPr>
      </w:pPr>
    </w:p>
    <w:p w14:paraId="7666FC66" w14:textId="77777777" w:rsidR="00BC7498" w:rsidRPr="00087C72" w:rsidRDefault="00BC7498" w:rsidP="003E59B7">
      <w:pPr>
        <w:rPr>
          <w:rFonts w:ascii="Arial" w:hAnsi="Arial" w:cs="Arial"/>
          <w:szCs w:val="22"/>
          <w:lang w:val="es-ES"/>
        </w:rPr>
      </w:pPr>
    </w:p>
    <w:sectPr w:rsidR="00BC7498" w:rsidRPr="00087C72" w:rsidSect="00863B48">
      <w:headerReference w:type="first" r:id="rId20"/>
      <w:footerReference w:type="first" r:id="rId21"/>
      <w:pgSz w:w="11906" w:h="16838" w:code="9"/>
      <w:pgMar w:top="1985" w:right="1416" w:bottom="1701" w:left="1134" w:header="567"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24095" w14:textId="77777777" w:rsidR="005D33DF" w:rsidRDefault="005D33DF">
      <w:r>
        <w:separator/>
      </w:r>
    </w:p>
  </w:endnote>
  <w:endnote w:type="continuationSeparator" w:id="0">
    <w:p w14:paraId="1403B9E7" w14:textId="77777777" w:rsidR="005D33DF" w:rsidRDefault="005D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B0502040204020203"/>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w:altName w:val="Gill Sans MT"/>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19DCF" w14:textId="77777777" w:rsidR="00B06957" w:rsidRPr="0072712A" w:rsidRDefault="00DB1819">
    <w:pPr>
      <w:pStyle w:val="Piedepgina"/>
      <w:jc w:val="center"/>
      <w:rPr>
        <w:rFonts w:ascii="Arial" w:hAnsi="Arial" w:cs="Arial"/>
      </w:rPr>
    </w:pPr>
    <w:r w:rsidRPr="0072712A">
      <w:rPr>
        <w:rFonts w:ascii="Arial" w:hAnsi="Arial" w:cs="Arial"/>
      </w:rPr>
      <w:fldChar w:fldCharType="begin"/>
    </w:r>
    <w:r w:rsidRPr="0072712A">
      <w:rPr>
        <w:rFonts w:ascii="Arial" w:hAnsi="Arial" w:cs="Arial"/>
      </w:rPr>
      <w:instrText>PAGE   \* MERGEFORMAT</w:instrText>
    </w:r>
    <w:r w:rsidRPr="0072712A">
      <w:rPr>
        <w:rFonts w:ascii="Arial" w:hAnsi="Arial" w:cs="Arial"/>
      </w:rPr>
      <w:fldChar w:fldCharType="separate"/>
    </w:r>
    <w:r w:rsidRPr="0072712A">
      <w:rPr>
        <w:rFonts w:ascii="Arial" w:hAnsi="Arial" w:cs="Arial"/>
        <w:noProof/>
        <w:lang w:val="es-ES"/>
      </w:rPr>
      <w:t>2</w:t>
    </w:r>
    <w:r w:rsidRPr="0072712A">
      <w:rPr>
        <w:rFonts w:ascii="Arial" w:hAnsi="Arial" w:cs="Arial"/>
      </w:rPr>
      <w:fldChar w:fldCharType="end"/>
    </w:r>
  </w:p>
  <w:p w14:paraId="3FFFCB31" w14:textId="77777777" w:rsidR="00B06957" w:rsidRDefault="00605F4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5BE04" w14:textId="77777777" w:rsidR="00B06957" w:rsidRDefault="00605F45">
    <w:pPr>
      <w:pStyle w:val="Piedepgina"/>
      <w:jc w:val="right"/>
      <w:rPr>
        <w:rFonts w:ascii="Arial Narrow" w:hAnsi="Arial Narrow"/>
        <w:sz w:val="12"/>
        <w:lang w:val="es-ES"/>
      </w:rPr>
    </w:pPr>
  </w:p>
  <w:p w14:paraId="3E978462" w14:textId="77777777" w:rsidR="00B06957" w:rsidRDefault="00605F45">
    <w:pPr>
      <w:pStyle w:val="Piedepgina"/>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2CE87" w14:textId="77777777" w:rsidR="00B06957" w:rsidRPr="0072712A" w:rsidRDefault="00DB1819">
    <w:pPr>
      <w:pStyle w:val="Piedepgina"/>
      <w:jc w:val="center"/>
      <w:rPr>
        <w:rFonts w:ascii="Arial" w:hAnsi="Arial" w:cs="Arial"/>
      </w:rPr>
    </w:pPr>
    <w:r w:rsidRPr="0072712A">
      <w:rPr>
        <w:rFonts w:ascii="Arial" w:hAnsi="Arial" w:cs="Arial"/>
      </w:rPr>
      <w:fldChar w:fldCharType="begin"/>
    </w:r>
    <w:r w:rsidRPr="0072712A">
      <w:rPr>
        <w:rFonts w:ascii="Arial" w:hAnsi="Arial" w:cs="Arial"/>
      </w:rPr>
      <w:instrText>PAGE   \* MERGEFORMAT</w:instrText>
    </w:r>
    <w:r w:rsidRPr="0072712A">
      <w:rPr>
        <w:rFonts w:ascii="Arial" w:hAnsi="Arial" w:cs="Arial"/>
      </w:rPr>
      <w:fldChar w:fldCharType="separate"/>
    </w:r>
    <w:r w:rsidRPr="0072712A">
      <w:rPr>
        <w:rFonts w:ascii="Arial" w:hAnsi="Arial" w:cs="Arial"/>
        <w:noProof/>
        <w:lang w:val="es-ES"/>
      </w:rPr>
      <w:t>2</w:t>
    </w:r>
    <w:r w:rsidRPr="0072712A">
      <w:rPr>
        <w:rFonts w:ascii="Arial" w:hAnsi="Arial" w:cs="Arial"/>
      </w:rPr>
      <w:fldChar w:fldCharType="end"/>
    </w:r>
  </w:p>
  <w:p w14:paraId="1599C712" w14:textId="77777777" w:rsidR="00B06957" w:rsidRDefault="00605F4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239930"/>
      <w:docPartObj>
        <w:docPartGallery w:val="Page Numbers (Bottom of Page)"/>
        <w:docPartUnique/>
      </w:docPartObj>
    </w:sdtPr>
    <w:sdtEndPr/>
    <w:sdtContent>
      <w:p w14:paraId="0273C95D" w14:textId="4718C5F4" w:rsidR="0041138D" w:rsidRDefault="0041138D">
        <w:pPr>
          <w:pStyle w:val="Piedepgina"/>
          <w:jc w:val="center"/>
        </w:pPr>
        <w:r>
          <w:fldChar w:fldCharType="begin"/>
        </w:r>
        <w:r>
          <w:instrText>PAGE   \* MERGEFORMAT</w:instrText>
        </w:r>
        <w:r>
          <w:fldChar w:fldCharType="separate"/>
        </w:r>
        <w:r>
          <w:rPr>
            <w:lang w:val="es-ES"/>
          </w:rPr>
          <w:t>2</w:t>
        </w:r>
        <w:r>
          <w:fldChar w:fldCharType="end"/>
        </w:r>
      </w:p>
    </w:sdtContent>
  </w:sdt>
  <w:p w14:paraId="4B58E203" w14:textId="77777777" w:rsidR="00B06957" w:rsidRDefault="00605F45">
    <w:pPr>
      <w:pStyle w:val="Piedepgina"/>
      <w:rPr>
        <w:lang w:val="es-E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160981"/>
      <w:docPartObj>
        <w:docPartGallery w:val="Page Numbers (Bottom of Page)"/>
        <w:docPartUnique/>
      </w:docPartObj>
    </w:sdtPr>
    <w:sdtEndPr/>
    <w:sdtContent>
      <w:p w14:paraId="6F578C65" w14:textId="2130C419" w:rsidR="0041138D" w:rsidRDefault="0041138D">
        <w:pPr>
          <w:pStyle w:val="Piedepgina"/>
          <w:jc w:val="center"/>
        </w:pPr>
        <w:r>
          <w:fldChar w:fldCharType="begin"/>
        </w:r>
        <w:r>
          <w:instrText>PAGE   \* MERGEFORMAT</w:instrText>
        </w:r>
        <w:r>
          <w:fldChar w:fldCharType="separate"/>
        </w:r>
        <w:r>
          <w:rPr>
            <w:lang w:val="es-ES"/>
          </w:rPr>
          <w:t>2</w:t>
        </w:r>
        <w:r>
          <w:fldChar w:fldCharType="end"/>
        </w:r>
      </w:p>
    </w:sdtContent>
  </w:sdt>
  <w:p w14:paraId="23D206EE" w14:textId="77777777" w:rsidR="00B06957" w:rsidRDefault="00605F45">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4552A" w14:textId="77777777" w:rsidR="005D33DF" w:rsidRDefault="005D33DF">
      <w:r>
        <w:separator/>
      </w:r>
    </w:p>
  </w:footnote>
  <w:footnote w:type="continuationSeparator" w:id="0">
    <w:p w14:paraId="50F353F6" w14:textId="77777777" w:rsidR="005D33DF" w:rsidRDefault="005D3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9" w:type="dxa"/>
      <w:tblLayout w:type="fixed"/>
      <w:tblCellMar>
        <w:left w:w="70" w:type="dxa"/>
        <w:right w:w="70" w:type="dxa"/>
      </w:tblCellMar>
      <w:tblLook w:val="0000" w:firstRow="0" w:lastRow="0" w:firstColumn="0" w:lastColumn="0" w:noHBand="0" w:noVBand="0"/>
    </w:tblPr>
    <w:tblGrid>
      <w:gridCol w:w="1346"/>
      <w:gridCol w:w="8363"/>
    </w:tblGrid>
    <w:tr w:rsidR="00D96E80" w14:paraId="6637D96B" w14:textId="77777777" w:rsidTr="00D96E80">
      <w:trPr>
        <w:cantSplit/>
        <w:trHeight w:val="1279"/>
      </w:trPr>
      <w:tc>
        <w:tcPr>
          <w:tcW w:w="1346" w:type="dxa"/>
          <w:vMerge w:val="restart"/>
        </w:tcPr>
        <w:p w14:paraId="03384434" w14:textId="77777777" w:rsidR="00D96E80" w:rsidRDefault="00605F45">
          <w:pPr>
            <w:pStyle w:val="Encabezado"/>
          </w:pPr>
          <w:r>
            <w:rPr>
              <w:noProof/>
            </w:rPr>
            <w:object w:dxaOrig="1440" w:dyaOrig="1440" w14:anchorId="69982B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84.5pt;margin-top:13.1pt;width:43.2pt;height:45.1pt;z-index:251661824" o:allowincell="f">
                <v:imagedata r:id="rId1" o:title=""/>
                <w10:wrap type="topAndBottom"/>
              </v:shape>
              <o:OLEObject Type="Embed" ProgID="MSPhotoEd.3" ShapeID="_x0000_s2054" DrawAspect="Content" ObjectID="_1633181163" r:id="rId2"/>
            </w:object>
          </w:r>
        </w:p>
      </w:tc>
      <w:tc>
        <w:tcPr>
          <w:tcW w:w="8363" w:type="dxa"/>
          <w:vMerge w:val="restart"/>
        </w:tcPr>
        <w:p w14:paraId="209D209C" w14:textId="77777777" w:rsidR="00D96E80" w:rsidRDefault="00D96E80">
          <w:pPr>
            <w:pStyle w:val="Encabezado"/>
            <w:rPr>
              <w:rFonts w:ascii="Gill Sans" w:hAnsi="Gill Sans"/>
              <w:sz w:val="14"/>
            </w:rPr>
          </w:pPr>
        </w:p>
        <w:p w14:paraId="46F8D079" w14:textId="77777777" w:rsidR="00D96E80" w:rsidRDefault="00D96E80">
          <w:pPr>
            <w:pStyle w:val="Encabezado"/>
            <w:rPr>
              <w:rFonts w:ascii="Gill Sans" w:hAnsi="Gill Sans"/>
              <w:sz w:val="14"/>
            </w:rPr>
          </w:pPr>
        </w:p>
        <w:p w14:paraId="52628D98" w14:textId="77777777" w:rsidR="00D96E80" w:rsidRDefault="00D96E80">
          <w:pPr>
            <w:pStyle w:val="Encabezado"/>
            <w:spacing w:line="160" w:lineRule="atLeast"/>
            <w:rPr>
              <w:rFonts w:ascii="Gill Sans" w:hAnsi="Gill Sans"/>
              <w:sz w:val="14"/>
            </w:rPr>
          </w:pPr>
        </w:p>
      </w:tc>
    </w:tr>
    <w:tr w:rsidR="00D96E80" w14:paraId="20A1CF4C" w14:textId="77777777" w:rsidTr="00D96E80">
      <w:trPr>
        <w:cantSplit/>
        <w:trHeight w:val="541"/>
      </w:trPr>
      <w:tc>
        <w:tcPr>
          <w:tcW w:w="1346" w:type="dxa"/>
          <w:vMerge/>
        </w:tcPr>
        <w:p w14:paraId="079CDB74" w14:textId="77777777" w:rsidR="00D96E80" w:rsidRDefault="00D96E80">
          <w:pPr>
            <w:pStyle w:val="Encabezado"/>
          </w:pPr>
        </w:p>
      </w:tc>
      <w:tc>
        <w:tcPr>
          <w:tcW w:w="8363" w:type="dxa"/>
          <w:vMerge/>
        </w:tcPr>
        <w:p w14:paraId="279BB51A" w14:textId="77777777" w:rsidR="00D96E80" w:rsidRDefault="00D96E80">
          <w:pPr>
            <w:pStyle w:val="Encabezado"/>
          </w:pPr>
        </w:p>
      </w:tc>
    </w:tr>
  </w:tbl>
  <w:p w14:paraId="7A9A5ADE" w14:textId="77777777" w:rsidR="00B06957" w:rsidRDefault="00605F4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70" w:type="dxa"/>
      <w:tblLayout w:type="fixed"/>
      <w:tblCellMar>
        <w:left w:w="70" w:type="dxa"/>
        <w:right w:w="70" w:type="dxa"/>
      </w:tblCellMar>
      <w:tblLook w:val="0000" w:firstRow="0" w:lastRow="0" w:firstColumn="0" w:lastColumn="0" w:noHBand="0" w:noVBand="0"/>
    </w:tblPr>
    <w:tblGrid>
      <w:gridCol w:w="1276"/>
      <w:gridCol w:w="6804"/>
      <w:gridCol w:w="2126"/>
    </w:tblGrid>
    <w:tr w:rsidR="00B06957" w14:paraId="33FB9CA6" w14:textId="77777777" w:rsidTr="00BB23D1">
      <w:trPr>
        <w:cantSplit/>
        <w:trHeight w:val="719"/>
      </w:trPr>
      <w:tc>
        <w:tcPr>
          <w:tcW w:w="1276" w:type="dxa"/>
          <w:vMerge w:val="restart"/>
        </w:tcPr>
        <w:p w14:paraId="7DA1DED1" w14:textId="77777777" w:rsidR="00B06957" w:rsidRDefault="00605F45">
          <w:pPr>
            <w:pStyle w:val="Encabezado"/>
          </w:pPr>
          <w:r>
            <w:rPr>
              <w:noProof/>
            </w:rPr>
            <w:object w:dxaOrig="1440" w:dyaOrig="1440" w14:anchorId="0DC5AA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1pt;margin-top:5.05pt;width:53.85pt;height:59.5pt;z-index:251658752" o:allowincell="f">
                <v:imagedata r:id="rId1" o:title=""/>
                <w10:wrap type="topAndBottom"/>
              </v:shape>
              <o:OLEObject Type="Embed" ProgID="MSPhotoEd.3" ShapeID="_x0000_s2051" DrawAspect="Content" ObjectID="_1633181164" r:id="rId2"/>
            </w:object>
          </w:r>
        </w:p>
      </w:tc>
      <w:tc>
        <w:tcPr>
          <w:tcW w:w="6804" w:type="dxa"/>
          <w:vMerge w:val="restart"/>
        </w:tcPr>
        <w:p w14:paraId="45EDF5BB" w14:textId="77777777" w:rsidR="00B06957" w:rsidRPr="00B76CB7" w:rsidRDefault="00605F45">
          <w:pPr>
            <w:pStyle w:val="Encabezado"/>
            <w:rPr>
              <w:rFonts w:ascii="Gill Sans MT" w:hAnsi="Gill Sans MT"/>
              <w:sz w:val="14"/>
            </w:rPr>
          </w:pPr>
        </w:p>
        <w:p w14:paraId="54F8DFDF" w14:textId="77777777" w:rsidR="00B06957" w:rsidRPr="00B76CB7" w:rsidRDefault="00605F45">
          <w:pPr>
            <w:pStyle w:val="Encabezado"/>
            <w:rPr>
              <w:rFonts w:ascii="Gill Sans MT" w:hAnsi="Gill Sans MT"/>
              <w:sz w:val="14"/>
            </w:rPr>
          </w:pPr>
        </w:p>
        <w:p w14:paraId="6AB15F27" w14:textId="77777777" w:rsidR="00B06957" w:rsidRPr="00B76CB7" w:rsidRDefault="00DB1819">
          <w:pPr>
            <w:pStyle w:val="Encabezado"/>
            <w:spacing w:line="160" w:lineRule="atLeast"/>
            <w:rPr>
              <w:rFonts w:ascii="Gill Sans MT" w:hAnsi="Gill Sans MT"/>
              <w:sz w:val="20"/>
            </w:rPr>
          </w:pPr>
          <w:bookmarkStart w:id="4" w:name="_Hlk14775523"/>
          <w:r w:rsidRPr="00B76CB7">
            <w:rPr>
              <w:rFonts w:ascii="Gill Sans MT" w:hAnsi="Gill Sans MT"/>
              <w:sz w:val="20"/>
            </w:rPr>
            <w:t xml:space="preserve">MINISTERIO </w:t>
          </w:r>
        </w:p>
        <w:p w14:paraId="319C3FA6" w14:textId="77777777" w:rsidR="00B06957" w:rsidRPr="00B76CB7" w:rsidRDefault="00DB1819">
          <w:pPr>
            <w:pStyle w:val="Encabezado"/>
            <w:spacing w:line="160" w:lineRule="atLeast"/>
            <w:rPr>
              <w:rFonts w:ascii="Gill Sans MT" w:hAnsi="Gill Sans MT"/>
              <w:sz w:val="20"/>
            </w:rPr>
          </w:pPr>
          <w:r w:rsidRPr="00B76CB7">
            <w:rPr>
              <w:rFonts w:ascii="Gill Sans MT" w:hAnsi="Gill Sans MT"/>
              <w:sz w:val="20"/>
            </w:rPr>
            <w:t xml:space="preserve">DE </w:t>
          </w:r>
          <w:r>
            <w:rPr>
              <w:rFonts w:ascii="Gill Sans MT" w:hAnsi="Gill Sans MT"/>
              <w:sz w:val="20"/>
            </w:rPr>
            <w:t>TRABAJO, MIGRACIONES</w:t>
          </w:r>
          <w:r w:rsidRPr="00B76CB7">
            <w:rPr>
              <w:rFonts w:ascii="Gill Sans MT" w:hAnsi="Gill Sans MT"/>
              <w:sz w:val="20"/>
            </w:rPr>
            <w:t xml:space="preserve"> Y </w:t>
          </w:r>
        </w:p>
        <w:p w14:paraId="52428D09" w14:textId="77777777" w:rsidR="00B06957" w:rsidRPr="00B76CB7" w:rsidRDefault="00DB1819">
          <w:pPr>
            <w:pStyle w:val="Encabezado"/>
            <w:spacing w:line="160" w:lineRule="atLeast"/>
            <w:rPr>
              <w:rFonts w:ascii="Gill Sans MT" w:hAnsi="Gill Sans MT"/>
              <w:sz w:val="20"/>
            </w:rPr>
          </w:pPr>
          <w:r w:rsidRPr="00B76CB7">
            <w:rPr>
              <w:rFonts w:ascii="Gill Sans MT" w:hAnsi="Gill Sans MT"/>
              <w:sz w:val="20"/>
            </w:rPr>
            <w:t>SEGURIDAD SOCIAL</w:t>
          </w:r>
        </w:p>
        <w:bookmarkEnd w:id="4"/>
        <w:p w14:paraId="5E2961EB" w14:textId="77777777" w:rsidR="00B06957" w:rsidRPr="00B76CB7" w:rsidRDefault="00605F45">
          <w:pPr>
            <w:pStyle w:val="Encabezado"/>
            <w:spacing w:line="160" w:lineRule="atLeast"/>
            <w:rPr>
              <w:rFonts w:ascii="Gill Sans MT" w:hAnsi="Gill Sans MT"/>
              <w:sz w:val="20"/>
            </w:rPr>
          </w:pPr>
        </w:p>
        <w:p w14:paraId="749E516E" w14:textId="77777777" w:rsidR="00B06957" w:rsidRPr="00B76CB7" w:rsidRDefault="00605F45" w:rsidP="007E57E7">
          <w:pPr>
            <w:pStyle w:val="Encabezado"/>
            <w:spacing w:line="160" w:lineRule="atLeast"/>
            <w:rPr>
              <w:rFonts w:ascii="Gill Sans MT" w:hAnsi="Gill Sans MT"/>
              <w:sz w:val="14"/>
            </w:rPr>
          </w:pPr>
        </w:p>
      </w:tc>
      <w:tc>
        <w:tcPr>
          <w:tcW w:w="2126" w:type="dxa"/>
          <w:shd w:val="pct5" w:color="000000" w:fill="FFFFFF"/>
          <w:vAlign w:val="center"/>
        </w:tcPr>
        <w:p w14:paraId="78A6D9BA" w14:textId="77777777" w:rsidR="00B06957" w:rsidRPr="00B76CB7" w:rsidRDefault="00DB1819" w:rsidP="00CC5583">
          <w:pPr>
            <w:pStyle w:val="Encabezado"/>
            <w:spacing w:line="144" w:lineRule="atLeast"/>
            <w:rPr>
              <w:rFonts w:ascii="Gill Sans MT" w:hAnsi="Gill Sans MT"/>
              <w:sz w:val="14"/>
            </w:rPr>
          </w:pPr>
          <w:r w:rsidRPr="00B76CB7">
            <w:rPr>
              <w:rFonts w:ascii="Gill Sans MT" w:hAnsi="Gill Sans MT"/>
              <w:sz w:val="14"/>
            </w:rPr>
            <w:t xml:space="preserve">SECRETARIA </w:t>
          </w:r>
          <w:r>
            <w:rPr>
              <w:rFonts w:ascii="Gill Sans MT" w:hAnsi="Gill Sans MT"/>
              <w:sz w:val="14"/>
            </w:rPr>
            <w:t>DE ESTADO DE MIGRACIONES</w:t>
          </w:r>
        </w:p>
      </w:tc>
    </w:tr>
    <w:tr w:rsidR="00B06957" w14:paraId="6D7320C0" w14:textId="77777777" w:rsidTr="00BB23D1">
      <w:trPr>
        <w:cantSplit/>
      </w:trPr>
      <w:tc>
        <w:tcPr>
          <w:tcW w:w="1276" w:type="dxa"/>
          <w:vMerge/>
        </w:tcPr>
        <w:p w14:paraId="56B54B51" w14:textId="77777777" w:rsidR="00B06957" w:rsidRDefault="00605F45">
          <w:pPr>
            <w:pStyle w:val="Encabezado"/>
          </w:pPr>
        </w:p>
      </w:tc>
      <w:tc>
        <w:tcPr>
          <w:tcW w:w="6804" w:type="dxa"/>
          <w:vMerge/>
        </w:tcPr>
        <w:p w14:paraId="0417596A" w14:textId="77777777" w:rsidR="00B06957" w:rsidRPr="00B76CB7" w:rsidRDefault="00605F45">
          <w:pPr>
            <w:pStyle w:val="Encabezado"/>
            <w:rPr>
              <w:rFonts w:ascii="Gill Sans MT" w:hAnsi="Gill Sans MT"/>
            </w:rPr>
          </w:pPr>
        </w:p>
      </w:tc>
      <w:tc>
        <w:tcPr>
          <w:tcW w:w="2126" w:type="dxa"/>
        </w:tcPr>
        <w:p w14:paraId="70B867CD" w14:textId="6FAE199A" w:rsidR="00B06957" w:rsidRPr="00B76CB7" w:rsidRDefault="00605F45" w:rsidP="00D96E80">
          <w:pPr>
            <w:pStyle w:val="Encabezado"/>
            <w:spacing w:line="144" w:lineRule="atLeast"/>
            <w:rPr>
              <w:rFonts w:ascii="Gill Sans MT" w:hAnsi="Gill Sans MT"/>
              <w:sz w:val="14"/>
            </w:rPr>
          </w:pPr>
        </w:p>
      </w:tc>
    </w:tr>
  </w:tbl>
  <w:p w14:paraId="74BC5A8F" w14:textId="77777777" w:rsidR="00B06957" w:rsidRDefault="00605F4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9" w:type="dxa"/>
      <w:tblLayout w:type="fixed"/>
      <w:tblCellMar>
        <w:left w:w="70" w:type="dxa"/>
        <w:right w:w="70" w:type="dxa"/>
      </w:tblCellMar>
      <w:tblLook w:val="0000" w:firstRow="0" w:lastRow="0" w:firstColumn="0" w:lastColumn="0" w:noHBand="0" w:noVBand="0"/>
    </w:tblPr>
    <w:tblGrid>
      <w:gridCol w:w="1346"/>
      <w:gridCol w:w="8363"/>
    </w:tblGrid>
    <w:tr w:rsidR="00D96E80" w14:paraId="436FFE55" w14:textId="77777777" w:rsidTr="00D96E80">
      <w:trPr>
        <w:cantSplit/>
        <w:trHeight w:val="1279"/>
      </w:trPr>
      <w:tc>
        <w:tcPr>
          <w:tcW w:w="1346" w:type="dxa"/>
          <w:vMerge w:val="restart"/>
        </w:tcPr>
        <w:p w14:paraId="05FC3F74" w14:textId="77777777" w:rsidR="00D96E80" w:rsidRDefault="00605F45">
          <w:pPr>
            <w:pStyle w:val="Encabezado"/>
          </w:pPr>
          <w:r>
            <w:rPr>
              <w:noProof/>
            </w:rPr>
            <w:object w:dxaOrig="1440" w:dyaOrig="1440" w14:anchorId="7325A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484.5pt;margin-top:13.1pt;width:43.2pt;height:45.1pt;z-index:251665920" o:allowincell="f">
                <v:imagedata r:id="rId1" o:title=""/>
                <w10:wrap type="topAndBottom"/>
              </v:shape>
              <o:OLEObject Type="Embed" ProgID="MSPhotoEd.3" ShapeID="_x0000_s2056" DrawAspect="Content" ObjectID="_1633181165" r:id="rId2"/>
            </w:object>
          </w:r>
        </w:p>
      </w:tc>
      <w:tc>
        <w:tcPr>
          <w:tcW w:w="8363" w:type="dxa"/>
          <w:vMerge w:val="restart"/>
        </w:tcPr>
        <w:p w14:paraId="391AF9F7" w14:textId="77777777" w:rsidR="00D96E80" w:rsidRDefault="00D96E80">
          <w:pPr>
            <w:pStyle w:val="Encabezado"/>
            <w:rPr>
              <w:rFonts w:ascii="Gill Sans" w:hAnsi="Gill Sans"/>
              <w:sz w:val="14"/>
            </w:rPr>
          </w:pPr>
        </w:p>
        <w:p w14:paraId="5AF454BE" w14:textId="77777777" w:rsidR="00D96E80" w:rsidRDefault="00D96E80">
          <w:pPr>
            <w:pStyle w:val="Encabezado"/>
            <w:rPr>
              <w:rFonts w:ascii="Gill Sans" w:hAnsi="Gill Sans"/>
              <w:sz w:val="14"/>
            </w:rPr>
          </w:pPr>
        </w:p>
        <w:p w14:paraId="6A63D8F5" w14:textId="77777777" w:rsidR="00D96E80" w:rsidRDefault="00D96E80">
          <w:pPr>
            <w:pStyle w:val="Encabezado"/>
            <w:spacing w:line="160" w:lineRule="atLeast"/>
            <w:rPr>
              <w:rFonts w:ascii="Gill Sans" w:hAnsi="Gill Sans"/>
              <w:sz w:val="14"/>
            </w:rPr>
          </w:pPr>
        </w:p>
      </w:tc>
    </w:tr>
    <w:tr w:rsidR="00D96E80" w14:paraId="6CA5EA61" w14:textId="77777777" w:rsidTr="00D96E80">
      <w:trPr>
        <w:cantSplit/>
        <w:trHeight w:val="541"/>
      </w:trPr>
      <w:tc>
        <w:tcPr>
          <w:tcW w:w="1346" w:type="dxa"/>
          <w:vMerge/>
        </w:tcPr>
        <w:p w14:paraId="3A7CDB98" w14:textId="77777777" w:rsidR="00D96E80" w:rsidRDefault="00D96E80">
          <w:pPr>
            <w:pStyle w:val="Encabezado"/>
          </w:pPr>
        </w:p>
      </w:tc>
      <w:tc>
        <w:tcPr>
          <w:tcW w:w="8363" w:type="dxa"/>
          <w:vMerge/>
        </w:tcPr>
        <w:p w14:paraId="63013274" w14:textId="77777777" w:rsidR="00D96E80" w:rsidRDefault="00D96E80">
          <w:pPr>
            <w:pStyle w:val="Encabezado"/>
          </w:pPr>
        </w:p>
      </w:tc>
    </w:tr>
  </w:tbl>
  <w:p w14:paraId="341D7FC1" w14:textId="77777777" w:rsidR="00B06957" w:rsidRDefault="00605F4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70" w:type="dxa"/>
      <w:tblLayout w:type="fixed"/>
      <w:tblCellMar>
        <w:left w:w="70" w:type="dxa"/>
        <w:right w:w="70" w:type="dxa"/>
      </w:tblCellMar>
      <w:tblLook w:val="0000" w:firstRow="0" w:lastRow="0" w:firstColumn="0" w:lastColumn="0" w:noHBand="0" w:noVBand="0"/>
    </w:tblPr>
    <w:tblGrid>
      <w:gridCol w:w="1276"/>
      <w:gridCol w:w="6804"/>
      <w:gridCol w:w="2126"/>
    </w:tblGrid>
    <w:tr w:rsidR="00B06957" w14:paraId="63E9165C" w14:textId="77777777" w:rsidTr="00BB23D1">
      <w:trPr>
        <w:cantSplit/>
        <w:trHeight w:val="719"/>
      </w:trPr>
      <w:tc>
        <w:tcPr>
          <w:tcW w:w="1276" w:type="dxa"/>
          <w:vMerge w:val="restart"/>
        </w:tcPr>
        <w:p w14:paraId="2F3B1A95" w14:textId="77777777" w:rsidR="00B06957" w:rsidRDefault="00605F45">
          <w:pPr>
            <w:pStyle w:val="Encabezado"/>
          </w:pPr>
          <w:r>
            <w:rPr>
              <w:noProof/>
            </w:rPr>
            <w:object w:dxaOrig="1440" w:dyaOrig="1440" w14:anchorId="06BCF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1pt;margin-top:5.05pt;width:53.85pt;height:59.5pt;z-index:251659776" o:allowincell="f">
                <v:imagedata r:id="rId1" o:title=""/>
                <w10:wrap type="topAndBottom"/>
              </v:shape>
              <o:OLEObject Type="Embed" ProgID="MSPhotoEd.3" ShapeID="_x0000_s2052" DrawAspect="Content" ObjectID="_1633181166" r:id="rId2"/>
            </w:object>
          </w:r>
        </w:p>
      </w:tc>
      <w:tc>
        <w:tcPr>
          <w:tcW w:w="6804" w:type="dxa"/>
          <w:vMerge w:val="restart"/>
        </w:tcPr>
        <w:p w14:paraId="3C8A69C8" w14:textId="77777777" w:rsidR="00B06957" w:rsidRPr="00B76CB7" w:rsidRDefault="00605F45" w:rsidP="007E57E7">
          <w:pPr>
            <w:pStyle w:val="Encabezado"/>
            <w:spacing w:line="160" w:lineRule="atLeast"/>
            <w:rPr>
              <w:rFonts w:ascii="Gill Sans MT" w:hAnsi="Gill Sans MT"/>
              <w:sz w:val="14"/>
            </w:rPr>
          </w:pPr>
        </w:p>
      </w:tc>
      <w:tc>
        <w:tcPr>
          <w:tcW w:w="2126" w:type="dxa"/>
          <w:shd w:val="pct5" w:color="000000" w:fill="FFFFFF"/>
          <w:vAlign w:val="center"/>
        </w:tcPr>
        <w:p w14:paraId="2508F699" w14:textId="0163EA31" w:rsidR="00B06957" w:rsidRPr="00B76CB7" w:rsidRDefault="00605F45" w:rsidP="00CC5583">
          <w:pPr>
            <w:pStyle w:val="Encabezado"/>
            <w:spacing w:line="144" w:lineRule="atLeast"/>
            <w:rPr>
              <w:rFonts w:ascii="Gill Sans MT" w:hAnsi="Gill Sans MT"/>
              <w:sz w:val="14"/>
            </w:rPr>
          </w:pPr>
        </w:p>
      </w:tc>
    </w:tr>
    <w:tr w:rsidR="00B06957" w14:paraId="1FDFD8D9" w14:textId="77777777" w:rsidTr="00BB23D1">
      <w:trPr>
        <w:cantSplit/>
      </w:trPr>
      <w:tc>
        <w:tcPr>
          <w:tcW w:w="1276" w:type="dxa"/>
          <w:vMerge/>
        </w:tcPr>
        <w:p w14:paraId="000BABE8" w14:textId="77777777" w:rsidR="00B06957" w:rsidRDefault="00605F45">
          <w:pPr>
            <w:pStyle w:val="Encabezado"/>
          </w:pPr>
        </w:p>
      </w:tc>
      <w:tc>
        <w:tcPr>
          <w:tcW w:w="6804" w:type="dxa"/>
          <w:vMerge/>
        </w:tcPr>
        <w:p w14:paraId="5ACE86A5" w14:textId="77777777" w:rsidR="00B06957" w:rsidRPr="00B76CB7" w:rsidRDefault="00605F45">
          <w:pPr>
            <w:pStyle w:val="Encabezado"/>
            <w:rPr>
              <w:rFonts w:ascii="Gill Sans MT" w:hAnsi="Gill Sans MT"/>
            </w:rPr>
          </w:pPr>
        </w:p>
      </w:tc>
      <w:tc>
        <w:tcPr>
          <w:tcW w:w="2126" w:type="dxa"/>
        </w:tcPr>
        <w:p w14:paraId="18D78A43" w14:textId="711C08EE" w:rsidR="00B06957" w:rsidRPr="00B76CB7" w:rsidRDefault="00605F45" w:rsidP="0025074A">
          <w:pPr>
            <w:pStyle w:val="Encabezado"/>
            <w:spacing w:line="144" w:lineRule="atLeast"/>
            <w:jc w:val="center"/>
            <w:rPr>
              <w:rFonts w:ascii="Gill Sans MT" w:hAnsi="Gill Sans MT"/>
              <w:sz w:val="14"/>
            </w:rPr>
          </w:pPr>
        </w:p>
      </w:tc>
    </w:tr>
  </w:tbl>
  <w:p w14:paraId="698ED29F" w14:textId="77777777" w:rsidR="00B06957" w:rsidRDefault="00605F45">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758" w:type="dxa"/>
      <w:tblInd w:w="70" w:type="dxa"/>
      <w:tblLayout w:type="fixed"/>
      <w:tblCellMar>
        <w:left w:w="70" w:type="dxa"/>
        <w:right w:w="70" w:type="dxa"/>
      </w:tblCellMar>
      <w:tblLook w:val="0000" w:firstRow="0" w:lastRow="0" w:firstColumn="0" w:lastColumn="0" w:noHBand="0" w:noVBand="0"/>
    </w:tblPr>
    <w:tblGrid>
      <w:gridCol w:w="1276"/>
      <w:gridCol w:w="1276"/>
      <w:gridCol w:w="1276"/>
      <w:gridCol w:w="6804"/>
      <w:gridCol w:w="2126"/>
    </w:tblGrid>
    <w:tr w:rsidR="00D96E80" w14:paraId="1D341B2E" w14:textId="77777777" w:rsidTr="00D96E80">
      <w:trPr>
        <w:cantSplit/>
        <w:trHeight w:val="719"/>
      </w:trPr>
      <w:tc>
        <w:tcPr>
          <w:tcW w:w="1276" w:type="dxa"/>
        </w:tcPr>
        <w:p w14:paraId="3742A83F" w14:textId="31F223FA" w:rsidR="00D96E80" w:rsidRDefault="00605F45" w:rsidP="00D96E80">
          <w:pPr>
            <w:pStyle w:val="Encabezado"/>
          </w:pPr>
          <w:r>
            <w:rPr>
              <w:noProof/>
            </w:rPr>
            <w:object w:dxaOrig="1440" w:dyaOrig="1440" w14:anchorId="4601BA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484.5pt;margin-top:13.1pt;width:43.2pt;height:45.1pt;z-index:251663872" o:allowincell="f">
                <v:imagedata r:id="rId1" o:title=""/>
                <w10:wrap type="topAndBottom"/>
              </v:shape>
              <o:OLEObject Type="Embed" ProgID="MSPhotoEd.3" ShapeID="_x0000_s2055" DrawAspect="Content" ObjectID="_1633181167" r:id="rId2"/>
            </w:object>
          </w:r>
        </w:p>
      </w:tc>
      <w:tc>
        <w:tcPr>
          <w:tcW w:w="1276" w:type="dxa"/>
        </w:tcPr>
        <w:p w14:paraId="315AF920" w14:textId="77777777" w:rsidR="00D96E80" w:rsidRDefault="00D96E80" w:rsidP="00D96E80">
          <w:pPr>
            <w:pStyle w:val="Encabezado"/>
            <w:rPr>
              <w:rFonts w:ascii="Gill Sans" w:hAnsi="Gill Sans"/>
              <w:sz w:val="14"/>
            </w:rPr>
          </w:pPr>
        </w:p>
        <w:p w14:paraId="0A140929" w14:textId="77777777" w:rsidR="00D96E80" w:rsidRDefault="00D96E80" w:rsidP="00D96E80">
          <w:pPr>
            <w:pStyle w:val="Encabezado"/>
            <w:rPr>
              <w:rFonts w:ascii="Gill Sans" w:hAnsi="Gill Sans"/>
              <w:sz w:val="14"/>
            </w:rPr>
          </w:pPr>
        </w:p>
        <w:p w14:paraId="133D4D42" w14:textId="77777777" w:rsidR="00D96E80" w:rsidRDefault="00D96E80" w:rsidP="00D96E80">
          <w:pPr>
            <w:pStyle w:val="Encabezado"/>
          </w:pPr>
        </w:p>
      </w:tc>
      <w:tc>
        <w:tcPr>
          <w:tcW w:w="1276" w:type="dxa"/>
          <w:vMerge w:val="restart"/>
        </w:tcPr>
        <w:p w14:paraId="4B9AA508" w14:textId="05FC3324" w:rsidR="00D96E80" w:rsidRDefault="00D96E80" w:rsidP="00D96E80">
          <w:pPr>
            <w:pStyle w:val="Encabezado"/>
          </w:pPr>
        </w:p>
      </w:tc>
      <w:tc>
        <w:tcPr>
          <w:tcW w:w="6804" w:type="dxa"/>
          <w:vMerge w:val="restart"/>
        </w:tcPr>
        <w:p w14:paraId="362A9A28" w14:textId="77777777" w:rsidR="00D96E80" w:rsidRPr="00B76CB7" w:rsidRDefault="00D96E80" w:rsidP="00D96E80">
          <w:pPr>
            <w:pStyle w:val="Encabezado"/>
            <w:spacing w:line="160" w:lineRule="atLeast"/>
            <w:rPr>
              <w:rFonts w:ascii="Gill Sans MT" w:hAnsi="Gill Sans MT"/>
              <w:sz w:val="14"/>
            </w:rPr>
          </w:pPr>
        </w:p>
      </w:tc>
      <w:tc>
        <w:tcPr>
          <w:tcW w:w="2126" w:type="dxa"/>
          <w:shd w:val="pct5" w:color="000000" w:fill="FFFFFF"/>
          <w:vAlign w:val="center"/>
        </w:tcPr>
        <w:p w14:paraId="1B68C401" w14:textId="2B246D7A" w:rsidR="00D96E80" w:rsidRPr="00B76CB7" w:rsidRDefault="00D96E80" w:rsidP="00D96E80">
          <w:pPr>
            <w:pStyle w:val="Encabezado"/>
            <w:spacing w:line="144" w:lineRule="atLeast"/>
            <w:rPr>
              <w:rFonts w:ascii="Gill Sans MT" w:hAnsi="Gill Sans MT"/>
              <w:sz w:val="14"/>
            </w:rPr>
          </w:pPr>
        </w:p>
      </w:tc>
    </w:tr>
    <w:tr w:rsidR="00D96E80" w14:paraId="6D93FDEF" w14:textId="77777777" w:rsidTr="00D96E80">
      <w:trPr>
        <w:cantSplit/>
      </w:trPr>
      <w:tc>
        <w:tcPr>
          <w:tcW w:w="1276" w:type="dxa"/>
        </w:tcPr>
        <w:p w14:paraId="1FBFA0E6" w14:textId="77777777" w:rsidR="00D96E80" w:rsidRDefault="00D96E80" w:rsidP="00D96E80">
          <w:pPr>
            <w:pStyle w:val="Encabezado"/>
          </w:pPr>
        </w:p>
      </w:tc>
      <w:tc>
        <w:tcPr>
          <w:tcW w:w="1276" w:type="dxa"/>
        </w:tcPr>
        <w:p w14:paraId="158C4A6F" w14:textId="77777777" w:rsidR="00D96E80" w:rsidRDefault="00D96E80" w:rsidP="00D96E80">
          <w:pPr>
            <w:pStyle w:val="Encabezado"/>
          </w:pPr>
        </w:p>
      </w:tc>
      <w:tc>
        <w:tcPr>
          <w:tcW w:w="1276" w:type="dxa"/>
          <w:vMerge/>
        </w:tcPr>
        <w:p w14:paraId="73036BC1" w14:textId="31C9A4AF" w:rsidR="00D96E80" w:rsidRDefault="00D96E80" w:rsidP="00D96E80">
          <w:pPr>
            <w:pStyle w:val="Encabezado"/>
          </w:pPr>
        </w:p>
      </w:tc>
      <w:tc>
        <w:tcPr>
          <w:tcW w:w="6804" w:type="dxa"/>
          <w:vMerge/>
        </w:tcPr>
        <w:p w14:paraId="6549C638" w14:textId="77777777" w:rsidR="00D96E80" w:rsidRPr="00B76CB7" w:rsidRDefault="00D96E80" w:rsidP="00D96E80">
          <w:pPr>
            <w:pStyle w:val="Encabezado"/>
            <w:rPr>
              <w:rFonts w:ascii="Gill Sans MT" w:hAnsi="Gill Sans MT"/>
            </w:rPr>
          </w:pPr>
        </w:p>
      </w:tc>
      <w:tc>
        <w:tcPr>
          <w:tcW w:w="2126" w:type="dxa"/>
        </w:tcPr>
        <w:p w14:paraId="65399848" w14:textId="28AC8629" w:rsidR="00D96E80" w:rsidRPr="00B76CB7" w:rsidRDefault="00D96E80" w:rsidP="00D96E80">
          <w:pPr>
            <w:pStyle w:val="Encabezado"/>
            <w:spacing w:line="144" w:lineRule="atLeast"/>
            <w:jc w:val="center"/>
            <w:rPr>
              <w:rFonts w:ascii="Gill Sans MT" w:hAnsi="Gill Sans MT"/>
              <w:sz w:val="14"/>
            </w:rPr>
          </w:pPr>
        </w:p>
      </w:tc>
    </w:tr>
  </w:tbl>
  <w:p w14:paraId="6181BCB9" w14:textId="77777777" w:rsidR="00B06957" w:rsidRDefault="00605F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2342B"/>
    <w:multiLevelType w:val="hybridMultilevel"/>
    <w:tmpl w:val="09CE670E"/>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44A1E0F"/>
    <w:multiLevelType w:val="hybridMultilevel"/>
    <w:tmpl w:val="BD889C60"/>
    <w:lvl w:ilvl="0" w:tplc="DB7478E0">
      <w:numFmt w:val="bullet"/>
      <w:lvlText w:val="-"/>
      <w:lvlJc w:val="left"/>
      <w:pPr>
        <w:ind w:left="2127" w:hanging="360"/>
      </w:pPr>
      <w:rPr>
        <w:rFonts w:ascii="Arial" w:eastAsia="Times New Roman" w:hAnsi="Arial" w:cs="Arial" w:hint="default"/>
      </w:rPr>
    </w:lvl>
    <w:lvl w:ilvl="1" w:tplc="0C0A0003">
      <w:start w:val="1"/>
      <w:numFmt w:val="bullet"/>
      <w:lvlText w:val="o"/>
      <w:lvlJc w:val="left"/>
      <w:pPr>
        <w:ind w:left="3207" w:hanging="360"/>
      </w:pPr>
      <w:rPr>
        <w:rFonts w:ascii="Courier New" w:hAnsi="Courier New" w:cs="Courier New" w:hint="default"/>
      </w:rPr>
    </w:lvl>
    <w:lvl w:ilvl="2" w:tplc="0C0A0005">
      <w:start w:val="1"/>
      <w:numFmt w:val="bullet"/>
      <w:lvlText w:val=""/>
      <w:lvlJc w:val="left"/>
      <w:pPr>
        <w:ind w:left="3927" w:hanging="360"/>
      </w:pPr>
      <w:rPr>
        <w:rFonts w:ascii="Wingdings" w:hAnsi="Wingdings" w:hint="default"/>
      </w:rPr>
    </w:lvl>
    <w:lvl w:ilvl="3" w:tplc="0C0A0001">
      <w:start w:val="1"/>
      <w:numFmt w:val="bullet"/>
      <w:lvlText w:val=""/>
      <w:lvlJc w:val="left"/>
      <w:pPr>
        <w:ind w:left="4647" w:hanging="360"/>
      </w:pPr>
      <w:rPr>
        <w:rFonts w:ascii="Symbol" w:hAnsi="Symbol" w:hint="default"/>
      </w:rPr>
    </w:lvl>
    <w:lvl w:ilvl="4" w:tplc="0C0A0003">
      <w:start w:val="1"/>
      <w:numFmt w:val="bullet"/>
      <w:lvlText w:val="o"/>
      <w:lvlJc w:val="left"/>
      <w:pPr>
        <w:ind w:left="5367" w:hanging="360"/>
      </w:pPr>
      <w:rPr>
        <w:rFonts w:ascii="Courier New" w:hAnsi="Courier New" w:cs="Courier New" w:hint="default"/>
      </w:rPr>
    </w:lvl>
    <w:lvl w:ilvl="5" w:tplc="0C0A0005">
      <w:start w:val="1"/>
      <w:numFmt w:val="bullet"/>
      <w:lvlText w:val=""/>
      <w:lvlJc w:val="left"/>
      <w:pPr>
        <w:ind w:left="6087" w:hanging="360"/>
      </w:pPr>
      <w:rPr>
        <w:rFonts w:ascii="Wingdings" w:hAnsi="Wingdings" w:hint="default"/>
      </w:rPr>
    </w:lvl>
    <w:lvl w:ilvl="6" w:tplc="0C0A0001">
      <w:start w:val="1"/>
      <w:numFmt w:val="bullet"/>
      <w:lvlText w:val=""/>
      <w:lvlJc w:val="left"/>
      <w:pPr>
        <w:ind w:left="6807" w:hanging="360"/>
      </w:pPr>
      <w:rPr>
        <w:rFonts w:ascii="Symbol" w:hAnsi="Symbol" w:hint="default"/>
      </w:rPr>
    </w:lvl>
    <w:lvl w:ilvl="7" w:tplc="0C0A0003">
      <w:start w:val="1"/>
      <w:numFmt w:val="bullet"/>
      <w:lvlText w:val="o"/>
      <w:lvlJc w:val="left"/>
      <w:pPr>
        <w:ind w:left="7527" w:hanging="360"/>
      </w:pPr>
      <w:rPr>
        <w:rFonts w:ascii="Courier New" w:hAnsi="Courier New" w:cs="Courier New" w:hint="default"/>
      </w:rPr>
    </w:lvl>
    <w:lvl w:ilvl="8" w:tplc="0C0A0005">
      <w:start w:val="1"/>
      <w:numFmt w:val="bullet"/>
      <w:lvlText w:val=""/>
      <w:lvlJc w:val="left"/>
      <w:pPr>
        <w:ind w:left="8247" w:hanging="360"/>
      </w:pPr>
      <w:rPr>
        <w:rFonts w:ascii="Wingdings" w:hAnsi="Wingdings" w:hint="default"/>
      </w:rPr>
    </w:lvl>
  </w:abstractNum>
  <w:abstractNum w:abstractNumId="2" w15:restartNumberingAfterBreak="0">
    <w:nsid w:val="22431ED0"/>
    <w:multiLevelType w:val="hybridMultilevel"/>
    <w:tmpl w:val="0A42ECF0"/>
    <w:lvl w:ilvl="0" w:tplc="0A2A273C">
      <w:start w:val="1"/>
      <w:numFmt w:val="bullet"/>
      <w:lvlText w:val="-"/>
      <w:lvlJc w:val="left"/>
      <w:pPr>
        <w:ind w:left="502" w:hanging="360"/>
      </w:pPr>
      <w:rPr>
        <w:rFonts w:ascii="Arial" w:hAnsi="Ari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277C0CE8"/>
    <w:multiLevelType w:val="hybridMultilevel"/>
    <w:tmpl w:val="BD5850C8"/>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3BE6147D"/>
    <w:multiLevelType w:val="multilevel"/>
    <w:tmpl w:val="69F2055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FE05B6"/>
    <w:multiLevelType w:val="hybridMultilevel"/>
    <w:tmpl w:val="B2E0D99C"/>
    <w:lvl w:ilvl="0" w:tplc="0C0A0001">
      <w:start w:val="1"/>
      <w:numFmt w:val="bullet"/>
      <w:lvlText w:val=""/>
      <w:lvlJc w:val="left"/>
      <w:pPr>
        <w:ind w:left="927" w:hanging="360"/>
      </w:pPr>
      <w:rPr>
        <w:rFonts w:ascii="Symbol" w:hAnsi="Symbol"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6" w15:restartNumberingAfterBreak="0">
    <w:nsid w:val="4C645D63"/>
    <w:multiLevelType w:val="hybridMultilevel"/>
    <w:tmpl w:val="BE4C0FFC"/>
    <w:lvl w:ilvl="0" w:tplc="0A2A273C">
      <w:start w:val="1"/>
      <w:numFmt w:val="bullet"/>
      <w:lvlText w:val="-"/>
      <w:lvlJc w:val="left"/>
      <w:pPr>
        <w:ind w:left="720" w:hanging="360"/>
      </w:pPr>
      <w:rPr>
        <w:rFonts w:ascii="Arial" w:hAnsi="Ari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50C852AD"/>
    <w:multiLevelType w:val="hybridMultilevel"/>
    <w:tmpl w:val="A0DA79BC"/>
    <w:lvl w:ilvl="0" w:tplc="BFACD952">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514A58AA"/>
    <w:multiLevelType w:val="multilevel"/>
    <w:tmpl w:val="79E4A306"/>
    <w:lvl w:ilvl="0">
      <w:start w:val="3"/>
      <w:numFmt w:val="decimal"/>
      <w:lvlText w:val="%1."/>
      <w:lvlJc w:val="left"/>
      <w:pPr>
        <w:ind w:left="360" w:hanging="360"/>
      </w:pPr>
      <w:rPr>
        <w:b/>
      </w:rPr>
    </w:lvl>
    <w:lvl w:ilvl="1">
      <w:start w:val="1"/>
      <w:numFmt w:val="decimal"/>
      <w:lvlText w:val="%1.%2."/>
      <w:lvlJc w:val="left"/>
      <w:pPr>
        <w:ind w:left="1004" w:hanging="720"/>
      </w:pPr>
      <w:rPr>
        <w:b/>
        <w:i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9" w15:restartNumberingAfterBreak="0">
    <w:nsid w:val="5BC02042"/>
    <w:multiLevelType w:val="hybridMultilevel"/>
    <w:tmpl w:val="CDD86376"/>
    <w:lvl w:ilvl="0" w:tplc="16007E1E">
      <w:start w:val="1"/>
      <w:numFmt w:val="decimal"/>
      <w:lvlText w:val="%1."/>
      <w:lvlJc w:val="left"/>
      <w:pPr>
        <w:ind w:left="720" w:hanging="360"/>
      </w:pPr>
      <w:rPr>
        <w:i w:val="0"/>
        <w:color w:val="0D0D0D"/>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7C580E37"/>
    <w:multiLevelType w:val="hybridMultilevel"/>
    <w:tmpl w:val="289662BC"/>
    <w:lvl w:ilvl="0" w:tplc="E72C1C9E">
      <w:start w:val="15"/>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4"/>
    <w:lvlOverride w:ilvl="0">
      <w:startOverride w:val="1"/>
    </w:lvlOverride>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9B7"/>
    <w:rsid w:val="00087C72"/>
    <w:rsid w:val="002C765C"/>
    <w:rsid w:val="002F5752"/>
    <w:rsid w:val="003E03E6"/>
    <w:rsid w:val="003E59B7"/>
    <w:rsid w:val="003F1879"/>
    <w:rsid w:val="0041138D"/>
    <w:rsid w:val="00456013"/>
    <w:rsid w:val="00492D4E"/>
    <w:rsid w:val="00552F25"/>
    <w:rsid w:val="005D33DF"/>
    <w:rsid w:val="005F6CFF"/>
    <w:rsid w:val="0060386B"/>
    <w:rsid w:val="006E2029"/>
    <w:rsid w:val="006E7FA5"/>
    <w:rsid w:val="00720558"/>
    <w:rsid w:val="00747FD3"/>
    <w:rsid w:val="007C1A24"/>
    <w:rsid w:val="007E0A99"/>
    <w:rsid w:val="008B5625"/>
    <w:rsid w:val="009C6BB2"/>
    <w:rsid w:val="009E1E32"/>
    <w:rsid w:val="00A70898"/>
    <w:rsid w:val="00A7327D"/>
    <w:rsid w:val="00AE23CA"/>
    <w:rsid w:val="00AF4DB4"/>
    <w:rsid w:val="00B04E15"/>
    <w:rsid w:val="00BB3D49"/>
    <w:rsid w:val="00BC7498"/>
    <w:rsid w:val="00BF4A23"/>
    <w:rsid w:val="00CB3FE0"/>
    <w:rsid w:val="00D96E80"/>
    <w:rsid w:val="00DB1819"/>
    <w:rsid w:val="00E14380"/>
    <w:rsid w:val="00E42144"/>
    <w:rsid w:val="00E7664A"/>
    <w:rsid w:val="00EF013F"/>
    <w:rsid w:val="00FA62EB"/>
    <w:rsid w:val="00FB1EBB"/>
    <w:rsid w:val="00FB31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365A134"/>
  <w15:chartTrackingRefBased/>
  <w15:docId w15:val="{B770B264-51AC-4726-AD8D-1F990F59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9B7"/>
    <w:pPr>
      <w:spacing w:after="0" w:line="240" w:lineRule="auto"/>
    </w:pPr>
    <w:rPr>
      <w:rFonts w:ascii="Times New Roman" w:eastAsia="Times New Roman" w:hAnsi="Times New Roman" w:cs="Times New Roman"/>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59B7"/>
    <w:pPr>
      <w:tabs>
        <w:tab w:val="center" w:pos="4252"/>
        <w:tab w:val="right" w:pos="8504"/>
      </w:tabs>
    </w:pPr>
  </w:style>
  <w:style w:type="character" w:customStyle="1" w:styleId="EncabezadoCar">
    <w:name w:val="Encabezado Car"/>
    <w:basedOn w:val="Fuentedeprrafopredeter"/>
    <w:link w:val="Encabezado"/>
    <w:rsid w:val="003E59B7"/>
    <w:rPr>
      <w:rFonts w:ascii="Times New Roman" w:eastAsia="Times New Roman" w:hAnsi="Times New Roman" w:cs="Times New Roman"/>
      <w:szCs w:val="20"/>
      <w:lang w:val="es-ES_tradnl" w:eastAsia="es-ES"/>
    </w:rPr>
  </w:style>
  <w:style w:type="paragraph" w:styleId="Piedepgina">
    <w:name w:val="footer"/>
    <w:basedOn w:val="Normal"/>
    <w:link w:val="PiedepginaCar"/>
    <w:uiPriority w:val="99"/>
    <w:rsid w:val="003E59B7"/>
    <w:pPr>
      <w:tabs>
        <w:tab w:val="center" w:pos="4252"/>
        <w:tab w:val="right" w:pos="8504"/>
      </w:tabs>
    </w:pPr>
  </w:style>
  <w:style w:type="character" w:customStyle="1" w:styleId="PiedepginaCar">
    <w:name w:val="Pie de página Car"/>
    <w:basedOn w:val="Fuentedeprrafopredeter"/>
    <w:link w:val="Piedepgina"/>
    <w:uiPriority w:val="99"/>
    <w:rsid w:val="003E59B7"/>
    <w:rPr>
      <w:rFonts w:ascii="Times New Roman" w:eastAsia="Times New Roman" w:hAnsi="Times New Roman" w:cs="Times New Roman"/>
      <w:szCs w:val="20"/>
      <w:lang w:val="es-ES_tradnl" w:eastAsia="es-ES"/>
    </w:rPr>
  </w:style>
  <w:style w:type="paragraph" w:styleId="Prrafodelista">
    <w:name w:val="List Paragraph"/>
    <w:basedOn w:val="Normal"/>
    <w:uiPriority w:val="34"/>
    <w:qFormat/>
    <w:rsid w:val="003E59B7"/>
    <w:pPr>
      <w:ind w:left="708"/>
    </w:pPr>
  </w:style>
  <w:style w:type="paragraph" w:customStyle="1" w:styleId="Standard">
    <w:name w:val="Standard"/>
    <w:rsid w:val="003E59B7"/>
    <w:pPr>
      <w:suppressAutoHyphens/>
      <w:spacing w:after="0" w:line="240" w:lineRule="auto"/>
    </w:pPr>
    <w:rPr>
      <w:rFonts w:ascii="Liberation Serif" w:eastAsia="SimSun" w:hAnsi="Liberation Serif" w:cs="Mangal"/>
      <w:kern w:val="2"/>
      <w:sz w:val="24"/>
      <w:szCs w:val="24"/>
      <w:lang w:eastAsia="zh-CN" w:bidi="hi-IN"/>
    </w:rPr>
  </w:style>
  <w:style w:type="character" w:styleId="Refdecomentario">
    <w:name w:val="annotation reference"/>
    <w:basedOn w:val="Fuentedeprrafopredeter"/>
    <w:rsid w:val="003E59B7"/>
    <w:rPr>
      <w:sz w:val="16"/>
      <w:szCs w:val="16"/>
    </w:rPr>
  </w:style>
  <w:style w:type="paragraph" w:styleId="Textocomentario">
    <w:name w:val="annotation text"/>
    <w:basedOn w:val="Normal"/>
    <w:link w:val="TextocomentarioCar"/>
    <w:rsid w:val="003E59B7"/>
    <w:rPr>
      <w:sz w:val="20"/>
    </w:rPr>
  </w:style>
  <w:style w:type="character" w:customStyle="1" w:styleId="TextocomentarioCar">
    <w:name w:val="Texto comentario Car"/>
    <w:basedOn w:val="Fuentedeprrafopredeter"/>
    <w:link w:val="Textocomentario"/>
    <w:rsid w:val="003E59B7"/>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3E59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59B7"/>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fresa.com/prelsi/"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46890096L\AppData\Local\Microsoft\Windows\INetCache\Content.Outlook\O3Q5KPHQ\grafic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46890096L\AppData\Local\Microsoft\Windows\INetCache\Content.Outlook\O3Q5KPHQ\grafico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ES"/>
              <a:t>Alta régimen</a:t>
            </a:r>
            <a:r>
              <a:rPr lang="es-ES" baseline="0"/>
              <a:t> agrario (Total)</a:t>
            </a:r>
            <a:endParaRPr lang="es-ES"/>
          </a:p>
        </c:rich>
      </c:tx>
      <c:layout>
        <c:manualLayout>
          <c:xMode val="edge"/>
          <c:yMode val="edge"/>
          <c:x val="0.19838188976377952"/>
          <c:y val="6.0185185185185182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E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9FFC-4670-A1BE-D0BC0888A8A0}"/>
              </c:ext>
            </c:extLst>
          </c:dPt>
          <c:dPt>
            <c:idx val="1"/>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9FFC-4670-A1BE-D0BC0888A8A0}"/>
              </c:ext>
            </c:extLst>
          </c:dPt>
          <c:dPt>
            <c:idx val="2"/>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9FFC-4670-A1BE-D0BC0888A8A0}"/>
              </c:ext>
            </c:extLst>
          </c:dPt>
          <c:dLbls>
            <c:dLbl>
              <c:idx val="0"/>
              <c:layout>
                <c:manualLayout>
                  <c:x val="-0.12617416619448624"/>
                  <c:y val="0.12545912097863074"/>
                </c:manualLayout>
              </c:layout>
              <c:tx>
                <c:rich>
                  <a:bodyPr/>
                  <a:lstStyle/>
                  <a:p>
                    <a:fld id="{E55B5443-E099-4C9B-B0CB-BB3526CDB4BB}" type="CATEGORYNAME">
                      <a:rPr lang="en-US" sz="800" b="1" i="0" u="none" strike="noStrike" kern="1200" baseline="0">
                        <a:solidFill>
                          <a:sysClr val="window" lastClr="FFFFFF"/>
                        </a:solidFill>
                      </a:rPr>
                      <a:pPr/>
                      <a:t>[NOMBRE DE CATEGORÍA]</a:t>
                    </a:fld>
                    <a:fld id="{87A2098F-2EF8-4ABD-8251-39D9707EAED5}" type="CELLRANGE">
                      <a:rPr lang="en-US" sz="800"/>
                      <a:pPr/>
                      <a:t>[CELLRANGE]</a:t>
                    </a:fld>
                    <a:r>
                      <a:rPr lang="en-US" sz="800" baseline="0"/>
                      <a:t> (</a:t>
                    </a:r>
                    <a:fld id="{1A0AC60E-2CF1-4A13-BFE4-2F0D6A892A50}" type="PERCENTAGE">
                      <a:rPr lang="en-US" sz="800" baseline="0"/>
                      <a:pPr/>
                      <a:t>[PORCENTAJE]</a:t>
                    </a:fld>
                    <a:r>
                      <a:rPr lang="en-US" sz="800" baseline="0"/>
                      <a:t>)</a:t>
                    </a:r>
                  </a:p>
                </c:rich>
              </c:tx>
              <c:dLblPos val="bestFit"/>
              <c:showLegendKey val="0"/>
              <c:showVal val="0"/>
              <c:showCatName val="1"/>
              <c:showSerName val="0"/>
              <c:showPercent val="1"/>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1-9FFC-4670-A1BE-D0BC0888A8A0}"/>
                </c:ext>
              </c:extLst>
            </c:dLbl>
            <c:dLbl>
              <c:idx val="1"/>
              <c:layout>
                <c:manualLayout>
                  <c:x val="-0.17491726534893609"/>
                  <c:y val="-0.16549344451936257"/>
                </c:manualLayout>
              </c:layout>
              <c:tx>
                <c:rich>
                  <a:bodyPr/>
                  <a:lstStyle/>
                  <a:p>
                    <a:fld id="{877A787D-41F8-406A-8E98-7AA15B1E0C7D}" type="CATEGORYNAME">
                      <a:rPr lang="en-US" sz="800" b="1" i="0" u="none" strike="noStrike" kern="1200" baseline="0">
                        <a:solidFill>
                          <a:sysClr val="window" lastClr="FFFFFF"/>
                        </a:solidFill>
                      </a:rPr>
                      <a:pPr/>
                      <a:t>[NOMBRE DE CATEGORÍA]</a:t>
                    </a:fld>
                    <a:r>
                      <a:rPr lang="en-US" sz="800" b="1" i="0" u="none" strike="noStrike" kern="1200" baseline="0">
                        <a:solidFill>
                          <a:sysClr val="window" lastClr="FFFFFF"/>
                        </a:solidFill>
                      </a:rPr>
                      <a:t> </a:t>
                    </a:r>
                    <a:fld id="{44908BC0-7007-4B4D-8941-D572028099DD}" type="CELLRANGE">
                      <a:rPr lang="en-US" sz="800"/>
                      <a:pPr/>
                      <a:t>[CELLRANGE]</a:t>
                    </a:fld>
                    <a:r>
                      <a:rPr lang="en-US" sz="800" baseline="0"/>
                      <a:t> (</a:t>
                    </a:r>
                    <a:fld id="{9C1492FB-153B-431D-A137-4B66C94EF160}" type="PERCENTAGE">
                      <a:rPr lang="en-US" sz="800" baseline="0"/>
                      <a:pPr/>
                      <a:t>[PORCENTAJE]</a:t>
                    </a:fld>
                    <a:r>
                      <a:rPr lang="en-US" sz="800" baseline="0"/>
                      <a:t>)</a:t>
                    </a:r>
                  </a:p>
                </c:rich>
              </c:tx>
              <c:dLblPos val="bestFit"/>
              <c:showLegendKey val="0"/>
              <c:showVal val="0"/>
              <c:showCatName val="1"/>
              <c:showSerName val="0"/>
              <c:showPercent val="1"/>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3-9FFC-4670-A1BE-D0BC0888A8A0}"/>
                </c:ext>
              </c:extLst>
            </c:dLbl>
            <c:dLbl>
              <c:idx val="2"/>
              <c:layout>
                <c:manualLayout>
                  <c:x val="0.14572204529024443"/>
                  <c:y val="1.0266684711524324E-2"/>
                </c:manualLayout>
              </c:layout>
              <c:tx>
                <c:rich>
                  <a:bodyPr/>
                  <a:lstStyle/>
                  <a:p>
                    <a:fld id="{36CF8BF3-B2DB-4AC4-A0AD-2248E5CC4E7D}" type="CATEGORYNAME">
                      <a:rPr lang="en-US" sz="800" b="1" i="0" u="none" strike="noStrike" kern="1200" baseline="0">
                        <a:solidFill>
                          <a:sysClr val="window" lastClr="FFFFFF"/>
                        </a:solidFill>
                      </a:rPr>
                      <a:pPr/>
                      <a:t>[NOMBRE DE CATEGORÍA]</a:t>
                    </a:fld>
                    <a:fld id="{3F06B42D-2315-4F72-9460-EC3CCA605C66}" type="CELLRANGE">
                      <a:rPr lang="en-US" sz="800"/>
                      <a:pPr/>
                      <a:t>[CELLRANGE]</a:t>
                    </a:fld>
                    <a:r>
                      <a:rPr lang="en-US" sz="800" baseline="0"/>
                      <a:t> (</a:t>
                    </a:r>
                    <a:fld id="{30EDAF88-D628-4ED4-972B-F3C2C260F554}" type="PERCENTAGE">
                      <a:rPr lang="en-US" sz="800" baseline="0"/>
                      <a:pPr/>
                      <a:t>[PORCENTAJE]</a:t>
                    </a:fld>
                    <a:r>
                      <a:rPr lang="en-US" sz="800" baseline="0"/>
                      <a:t>)</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6909842845326717"/>
                      <c:h val="0.18441140117270594"/>
                    </c:manualLayout>
                  </c15:layout>
                  <c15:dlblFieldTable/>
                  <c15:showDataLabelsRange val="1"/>
                </c:ext>
                <c:ext xmlns:c16="http://schemas.microsoft.com/office/drawing/2014/chart" uri="{C3380CC4-5D6E-409C-BE32-E72D297353CC}">
                  <c16:uniqueId val="{00000005-9FFC-4670-A1BE-D0BC0888A8A0}"/>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ES"/>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showDataLabelsRange val="1"/>
              </c:ext>
            </c:extLst>
          </c:dLbls>
          <c:cat>
            <c:strRef>
              <c:f>'TABLA+GRAFICO'!$B$6:$B$8</c:f>
              <c:strCache>
                <c:ptCount val="3"/>
                <c:pt idx="0">
                  <c:v>Unión Europea </c:v>
                </c:pt>
                <c:pt idx="1">
                  <c:v>No Unión Europea</c:v>
                </c:pt>
                <c:pt idx="2">
                  <c:v>Españoles </c:v>
                </c:pt>
              </c:strCache>
            </c:strRef>
          </c:cat>
          <c:val>
            <c:numRef>
              <c:f>'TABLA+GRAFICO'!$C$6:$C$8</c:f>
              <c:numCache>
                <c:formatCode>#,##0</c:formatCode>
                <c:ptCount val="3"/>
                <c:pt idx="0">
                  <c:v>21894</c:v>
                </c:pt>
                <c:pt idx="1">
                  <c:v>26418</c:v>
                </c:pt>
                <c:pt idx="2">
                  <c:v>42979</c:v>
                </c:pt>
              </c:numCache>
            </c:numRef>
          </c:val>
          <c:extLst>
            <c:ext xmlns:c15="http://schemas.microsoft.com/office/drawing/2012/chart" uri="{02D57815-91ED-43cb-92C2-25804820EDAC}">
              <c15:datalabelsRange>
                <c15:f>'TABLA+GRAFICO'!$C$6:$C$8</c15:f>
                <c15:dlblRangeCache>
                  <c:ptCount val="3"/>
                  <c:pt idx="0">
                    <c:v>21.894</c:v>
                  </c:pt>
                  <c:pt idx="1">
                    <c:v>26.418</c:v>
                  </c:pt>
                  <c:pt idx="2">
                    <c:v>42.979</c:v>
                  </c:pt>
                </c15:dlblRangeCache>
              </c15:datalabelsRange>
            </c:ext>
            <c:ext xmlns:c16="http://schemas.microsoft.com/office/drawing/2014/chart" uri="{C3380CC4-5D6E-409C-BE32-E72D297353CC}">
              <c16:uniqueId val="{00000006-9FFC-4670-A1BE-D0BC0888A8A0}"/>
            </c:ext>
          </c:extLst>
        </c:ser>
        <c:ser>
          <c:idx val="1"/>
          <c:order val="1"/>
          <c:dPt>
            <c:idx val="0"/>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8-9FFC-4670-A1BE-D0BC0888A8A0}"/>
              </c:ext>
            </c:extLst>
          </c:dPt>
          <c:dPt>
            <c:idx val="1"/>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A-9FFC-4670-A1BE-D0BC0888A8A0}"/>
              </c:ext>
            </c:extLst>
          </c:dPt>
          <c:dPt>
            <c:idx val="2"/>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C-9FFC-4670-A1BE-D0BC0888A8A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E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'TABLA+GRAFICO'!$B$6:$B$8</c:f>
              <c:strCache>
                <c:ptCount val="3"/>
                <c:pt idx="0">
                  <c:v>Unión Europea </c:v>
                </c:pt>
                <c:pt idx="1">
                  <c:v>No Unión Europea</c:v>
                </c:pt>
                <c:pt idx="2">
                  <c:v>Españoles </c:v>
                </c:pt>
              </c:strCache>
            </c:strRef>
          </c:cat>
          <c:val>
            <c:numRef>
              <c:f>'TABLA+GRAFICO'!$D$6:$D$8</c:f>
              <c:numCache>
                <c:formatCode>0%</c:formatCode>
                <c:ptCount val="3"/>
                <c:pt idx="0">
                  <c:v>0.23982648892004688</c:v>
                </c:pt>
                <c:pt idx="1">
                  <c:v>0.28938230493695982</c:v>
                </c:pt>
                <c:pt idx="2">
                  <c:v>0.4707912061429933</c:v>
                </c:pt>
              </c:numCache>
            </c:numRef>
          </c:val>
          <c:extLst>
            <c:ext xmlns:c16="http://schemas.microsoft.com/office/drawing/2014/chart" uri="{C3380CC4-5D6E-409C-BE32-E72D297353CC}">
              <c16:uniqueId val="{0000000D-9FFC-4670-A1BE-D0BC0888A8A0}"/>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E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ES"/>
              <a:t>Alta régimen</a:t>
            </a:r>
            <a:r>
              <a:rPr lang="es-ES" baseline="0"/>
              <a:t> agrario </a:t>
            </a:r>
          </a:p>
          <a:p>
            <a:pPr>
              <a:defRPr/>
            </a:pPr>
            <a:r>
              <a:rPr lang="es-ES" baseline="0"/>
              <a:t>(No UE)</a:t>
            </a:r>
            <a:endParaRPr lang="es-E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E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0571709698235932E-2"/>
          <c:y val="0.24180418041804183"/>
          <c:w val="0.69220215805483487"/>
          <c:h val="0.67018701870187014"/>
        </c:manualLayout>
      </c:layout>
      <c:pie3DChart>
        <c:varyColors val="1"/>
        <c:ser>
          <c:idx val="0"/>
          <c:order val="0"/>
          <c:dPt>
            <c:idx val="0"/>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1B90-46BF-8FB3-703650BC9CDF}"/>
              </c:ext>
            </c:extLst>
          </c:dPt>
          <c:dPt>
            <c:idx val="1"/>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1B90-46BF-8FB3-703650BC9CDF}"/>
              </c:ext>
            </c:extLst>
          </c:dPt>
          <c:dPt>
            <c:idx val="2"/>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1B90-46BF-8FB3-703650BC9CDF}"/>
              </c:ext>
            </c:extLst>
          </c:dPt>
          <c:dLbls>
            <c:dLbl>
              <c:idx val="0"/>
              <c:layout>
                <c:manualLayout>
                  <c:x val="-0.14649325436169494"/>
                  <c:y val="-0.25166655619313855"/>
                </c:manualLayout>
              </c:layout>
              <c:tx>
                <c:rich>
                  <a:bodyPr/>
                  <a:lstStyle/>
                  <a:p>
                    <a:fld id="{0F7C1201-4198-4C89-A6B8-036A9868716E}" type="CATEGORYNAME">
                      <a:rPr lang="en-US" sz="800" b="1" i="0" u="none" strike="noStrike" kern="1200" baseline="0">
                        <a:solidFill>
                          <a:sysClr val="window" lastClr="FFFFFF"/>
                        </a:solidFill>
                      </a:rPr>
                      <a:pPr/>
                      <a:t>[NOMBRE DE CATEGORÍA]</a:t>
                    </a:fld>
                    <a:r>
                      <a:rPr lang="en-US" sz="800" b="1" i="0" u="none" strike="noStrike" kern="1200" baseline="0">
                        <a:solidFill>
                          <a:sysClr val="window" lastClr="FFFFFF"/>
                        </a:solidFill>
                      </a:rPr>
                      <a:t> </a:t>
                    </a:r>
                    <a:fld id="{9136ABB9-830E-4244-BBE2-0B2C083C1E19}" type="CELLRANGE">
                      <a:rPr lang="en-US" sz="800"/>
                      <a:pPr/>
                      <a:t>[CELLRANGE]</a:t>
                    </a:fld>
                    <a:r>
                      <a:rPr lang="en-US" sz="800" baseline="0"/>
                      <a:t>(</a:t>
                    </a:r>
                    <a:fld id="{A4C21038-4F6B-4E77-A632-0587F8C7B3AE}" type="PERCENTAGE">
                      <a:rPr lang="en-US" sz="800" baseline="0"/>
                      <a:pPr/>
                      <a:t>[PORCENTAJE]</a:t>
                    </a:fld>
                    <a:r>
                      <a:rPr lang="en-US" sz="800" baseline="0"/>
                      <a:t>)</a:t>
                    </a:r>
                  </a:p>
                </c:rich>
              </c:tx>
              <c:dLblPos val="bestFit"/>
              <c:showLegendKey val="0"/>
              <c:showVal val="0"/>
              <c:showCatName val="1"/>
              <c:showSerName val="0"/>
              <c:showPercent val="1"/>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1-1B90-46BF-8FB3-703650BC9CDF}"/>
                </c:ext>
              </c:extLst>
            </c:dLbl>
            <c:dLbl>
              <c:idx val="1"/>
              <c:layout>
                <c:manualLayout>
                  <c:x val="0.12011986001749782"/>
                  <c:y val="8.3066052729567977E-2"/>
                </c:manualLayout>
              </c:layout>
              <c:tx>
                <c:rich>
                  <a:bodyPr/>
                  <a:lstStyle/>
                  <a:p>
                    <a:fld id="{1585F843-73EF-4B95-8A63-99CCB3733BED}" type="CATEGORYNAME">
                      <a:rPr lang="en-US" sz="800" b="1" i="0" u="none" strike="noStrike" kern="1200" baseline="0">
                        <a:solidFill>
                          <a:sysClr val="window" lastClr="FFFFFF"/>
                        </a:solidFill>
                      </a:rPr>
                      <a:pPr/>
                      <a:t>[NOMBRE DE CATEGORÍA]</a:t>
                    </a:fld>
                    <a:r>
                      <a:rPr lang="en-US" sz="800" b="1" i="0" u="none" strike="noStrike" kern="1200" baseline="0">
                        <a:solidFill>
                          <a:sysClr val="window" lastClr="FFFFFF"/>
                        </a:solidFill>
                      </a:rPr>
                      <a:t> </a:t>
                    </a:r>
                  </a:p>
                  <a:p>
                    <a:fld id="{CBAC0B35-D045-4268-8934-49943E282D51}" type="CELLRANGE">
                      <a:rPr lang="en-US" sz="800"/>
                      <a:pPr/>
                      <a:t>[CELLRANGE]</a:t>
                    </a:fld>
                    <a:r>
                      <a:rPr lang="en-US" sz="800"/>
                      <a:t>(</a:t>
                    </a:r>
                    <a:r>
                      <a:rPr lang="en-US" sz="800" baseline="0"/>
                      <a:t> </a:t>
                    </a:r>
                    <a:fld id="{33AD8CB8-5742-419E-B4BA-3C68C35FF24C}" type="PERCENTAGE">
                      <a:rPr lang="en-US" sz="800" baseline="0"/>
                      <a:pPr/>
                      <a:t>[PORCENTAJE]</a:t>
                    </a:fld>
                    <a:r>
                      <a:rPr lang="en-US" sz="800" baseline="0"/>
                      <a:t>)</a:t>
                    </a:r>
                  </a:p>
                </c:rich>
              </c:tx>
              <c:dLblPos val="bestFit"/>
              <c:showLegendKey val="0"/>
              <c:showVal val="0"/>
              <c:showCatName val="1"/>
              <c:showSerName val="0"/>
              <c:showPercent val="1"/>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3-1B90-46BF-8FB3-703650BC9CDF}"/>
                </c:ext>
              </c:extLst>
            </c:dLbl>
            <c:dLbl>
              <c:idx val="2"/>
              <c:layout>
                <c:manualLayout>
                  <c:x val="9.3520848974518025E-2"/>
                  <c:y val="0.10057939522093409"/>
                </c:manualLayout>
              </c:layout>
              <c:tx>
                <c:rich>
                  <a:bodyPr/>
                  <a:lstStyle/>
                  <a:p>
                    <a:fld id="{E9FBBC2F-0BE5-4A25-8466-DE032832E01A}" type="CATEGORYNAME">
                      <a:rPr lang="en-US" sz="800" b="1" i="0" u="none" strike="noStrike" kern="1200" baseline="0">
                        <a:solidFill>
                          <a:sysClr val="window" lastClr="FFFFFF"/>
                        </a:solidFill>
                      </a:rPr>
                      <a:pPr/>
                      <a:t>[NOMBRE DE CATEGORÍA]</a:t>
                    </a:fld>
                    <a:r>
                      <a:rPr lang="en-US" sz="800" b="1" i="0" u="none" strike="noStrike" kern="1200" baseline="0">
                        <a:solidFill>
                          <a:sysClr val="window" lastClr="FFFFFF"/>
                        </a:solidFill>
                      </a:rPr>
                      <a:t> </a:t>
                    </a:r>
                  </a:p>
                  <a:p>
                    <a:fld id="{AC581F91-F52C-4BF9-B462-07E304ACB80F}" type="CELLRANGE">
                      <a:rPr lang="en-US" sz="800"/>
                      <a:pPr/>
                      <a:t>[CELLRANGE]</a:t>
                    </a:fld>
                    <a:r>
                      <a:rPr lang="en-US" sz="800" baseline="0"/>
                      <a:t>( </a:t>
                    </a:r>
                    <a:fld id="{5D180095-69D2-41FC-BA3E-118E34E21269}" type="PERCENTAGE">
                      <a:rPr lang="en-US" sz="800" baseline="0"/>
                      <a:pPr/>
                      <a:t>[PORCENTAJE]</a:t>
                    </a:fld>
                    <a:r>
                      <a:rPr lang="en-US" sz="800" baseline="0"/>
                      <a:t>)</a:t>
                    </a:r>
                  </a:p>
                </c:rich>
              </c:tx>
              <c:dLblPos val="bestFit"/>
              <c:showLegendKey val="0"/>
              <c:showVal val="0"/>
              <c:showCatName val="1"/>
              <c:showSerName val="0"/>
              <c:showPercent val="1"/>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5-1B90-46BF-8FB3-703650BC9CDF}"/>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ES"/>
              </a:p>
            </c:txPr>
            <c:dLblPos val="ctr"/>
            <c:showLegendKey val="0"/>
            <c:showVal val="0"/>
            <c:showCatName val="1"/>
            <c:showSerName val="0"/>
            <c:showPercent val="1"/>
            <c:showBubbleSize val="0"/>
            <c:separator>; </c:separator>
            <c:showLeaderLines val="1"/>
            <c:leaderLines>
              <c:spPr>
                <a:ln w="9525">
                  <a:solidFill>
                    <a:schemeClr val="dk1">
                      <a:lumMod val="50000"/>
                      <a:lumOff val="50000"/>
                    </a:schemeClr>
                  </a:solidFill>
                </a:ln>
                <a:effectLst/>
              </c:spPr>
            </c:leaderLines>
            <c:extLst>
              <c:ext xmlns:c15="http://schemas.microsoft.com/office/drawing/2012/chart" uri="{CE6537A1-D6FC-4f65-9D91-7224C49458BB}">
                <c15:showDataLabelsRange val="1"/>
              </c:ext>
            </c:extLst>
          </c:dLbls>
          <c:cat>
            <c:strRef>
              <c:f>'TABLA+GRAFICO'!$B$21:$B$23</c:f>
              <c:strCache>
                <c:ptCount val="3"/>
                <c:pt idx="0">
                  <c:v>Marruecos</c:v>
                </c:pt>
                <c:pt idx="1">
                  <c:v>Mali </c:v>
                </c:pt>
                <c:pt idx="2">
                  <c:v>Otros </c:v>
                </c:pt>
              </c:strCache>
            </c:strRef>
          </c:cat>
          <c:val>
            <c:numRef>
              <c:f>'TABLA+GRAFICO'!$C$21:$C$23</c:f>
              <c:numCache>
                <c:formatCode>#,##0</c:formatCode>
                <c:ptCount val="3"/>
                <c:pt idx="0">
                  <c:v>20686</c:v>
                </c:pt>
                <c:pt idx="1">
                  <c:v>2256</c:v>
                </c:pt>
                <c:pt idx="2">
                  <c:v>3476</c:v>
                </c:pt>
              </c:numCache>
            </c:numRef>
          </c:val>
          <c:extLst>
            <c:ext xmlns:c15="http://schemas.microsoft.com/office/drawing/2012/chart" uri="{02D57815-91ED-43cb-92C2-25804820EDAC}">
              <c15:datalabelsRange>
                <c15:f>'TABLA+GRAFICO'!$C$21:$C$23</c15:f>
                <c15:dlblRangeCache>
                  <c:ptCount val="3"/>
                  <c:pt idx="0">
                    <c:v>20.686</c:v>
                  </c:pt>
                  <c:pt idx="1">
                    <c:v>2.256</c:v>
                  </c:pt>
                  <c:pt idx="2">
                    <c:v>3.476</c:v>
                  </c:pt>
                </c15:dlblRangeCache>
              </c15:datalabelsRange>
            </c:ext>
            <c:ext xmlns:c16="http://schemas.microsoft.com/office/drawing/2014/chart" uri="{C3380CC4-5D6E-409C-BE32-E72D297353CC}">
              <c16:uniqueId val="{00000006-1B90-46BF-8FB3-703650BC9CDF}"/>
            </c:ext>
          </c:extLst>
        </c:ser>
        <c:ser>
          <c:idx val="1"/>
          <c:order val="1"/>
          <c:dPt>
            <c:idx val="0"/>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8-1B90-46BF-8FB3-703650BC9CDF}"/>
              </c:ext>
            </c:extLst>
          </c:dPt>
          <c:dPt>
            <c:idx val="1"/>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A-1B90-46BF-8FB3-703650BC9CDF}"/>
              </c:ext>
            </c:extLst>
          </c:dPt>
          <c:dPt>
            <c:idx val="2"/>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C-1B90-46BF-8FB3-703650BC9CD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E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'TABLA+GRAFICO'!$B$21:$B$23</c:f>
              <c:strCache>
                <c:ptCount val="3"/>
                <c:pt idx="0">
                  <c:v>Marruecos</c:v>
                </c:pt>
                <c:pt idx="1">
                  <c:v>Mali </c:v>
                </c:pt>
                <c:pt idx="2">
                  <c:v>Otros </c:v>
                </c:pt>
              </c:strCache>
            </c:strRef>
          </c:cat>
          <c:val>
            <c:numRef>
              <c:f>'TABLA+GRAFICO'!$D$21:$D$23</c:f>
              <c:numCache>
                <c:formatCode>0%</c:formatCode>
                <c:ptCount val="3"/>
                <c:pt idx="0">
                  <c:v>0.78302672420319475</c:v>
                </c:pt>
                <c:pt idx="1">
                  <c:v>8.5396320690438343E-2</c:v>
                </c:pt>
                <c:pt idx="2">
                  <c:v>0.13157695510636688</c:v>
                </c:pt>
              </c:numCache>
            </c:numRef>
          </c:val>
          <c:extLst>
            <c:ext xmlns:c16="http://schemas.microsoft.com/office/drawing/2014/chart" uri="{C3380CC4-5D6E-409C-BE32-E72D297353CC}">
              <c16:uniqueId val="{0000000D-1B90-46BF-8FB3-703650BC9CDF}"/>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E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C35E2-24EB-4256-8E46-925620ADB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2179</Words>
  <Characters>11986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MOLINA MARTINEZ, JAVIER</dc:creator>
  <cp:keywords/>
  <dc:description/>
  <cp:lastModifiedBy>usuario0171</cp:lastModifiedBy>
  <cp:revision>2</cp:revision>
  <cp:lastPrinted>2019-09-25T15:08:00Z</cp:lastPrinted>
  <dcterms:created xsi:type="dcterms:W3CDTF">2019-10-21T14:40:00Z</dcterms:created>
  <dcterms:modified xsi:type="dcterms:W3CDTF">2019-10-21T14:40:00Z</dcterms:modified>
</cp:coreProperties>
</file>